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6E" w:rsidRPr="00BA7F6E" w:rsidRDefault="00BA7F6E" w:rsidP="00BA7F6E">
      <w:pPr>
        <w:ind w:left="0"/>
        <w:jc w:val="center"/>
        <w:rPr>
          <w:caps/>
        </w:rPr>
      </w:pPr>
      <w:r w:rsidRPr="00BA7F6E">
        <w:rPr>
          <w:caps/>
        </w:rPr>
        <w:t>Instituto salvadoreño del seguro social</w:t>
      </w:r>
    </w:p>
    <w:p w:rsidR="00BA7F6E" w:rsidRPr="00BA7F6E" w:rsidRDefault="00BA7F6E" w:rsidP="00BA7F6E">
      <w:pPr>
        <w:ind w:left="0"/>
        <w:jc w:val="center"/>
        <w:rPr>
          <w:caps/>
        </w:rPr>
      </w:pPr>
      <w:r w:rsidRPr="00BA7F6E">
        <w:rPr>
          <w:caps/>
        </w:rPr>
        <w:t>UNIVERSIDAD DE EL SALVADOR</w:t>
      </w:r>
    </w:p>
    <w:p w:rsidR="00BA7F6E" w:rsidRPr="00BA7F6E" w:rsidRDefault="00BA7F6E" w:rsidP="00BA7F6E">
      <w:pPr>
        <w:ind w:left="0"/>
        <w:jc w:val="center"/>
        <w:rPr>
          <w:caps/>
        </w:rPr>
      </w:pPr>
      <w:r w:rsidRPr="00BA7F6E">
        <w:rPr>
          <w:caps/>
        </w:rPr>
        <w:t>departamento de enseñanza</w:t>
      </w:r>
    </w:p>
    <w:p w:rsidR="00BA7F6E" w:rsidRPr="00BA7F6E" w:rsidRDefault="00BA7F6E" w:rsidP="00BA7F6E">
      <w:pPr>
        <w:ind w:left="0"/>
        <w:jc w:val="center"/>
        <w:rPr>
          <w:caps/>
        </w:rPr>
      </w:pPr>
      <w:r w:rsidRPr="00BA7F6E">
        <w:rPr>
          <w:caps/>
        </w:rPr>
        <w:t>residencia en medicina interna</w:t>
      </w:r>
    </w:p>
    <w:p w:rsidR="00BA7F6E" w:rsidRPr="00BA7F6E" w:rsidRDefault="00BA7F6E" w:rsidP="00BA7F6E">
      <w:pPr>
        <w:tabs>
          <w:tab w:val="left" w:pos="5115"/>
        </w:tabs>
        <w:ind w:left="0"/>
        <w:jc w:val="left"/>
      </w:pPr>
      <w:r w:rsidRPr="00BA7F6E">
        <w:tab/>
      </w:r>
    </w:p>
    <w:p w:rsidR="00BA7F6E" w:rsidRPr="00BA7F6E" w:rsidRDefault="00BA7F6E" w:rsidP="00BA7F6E">
      <w:pPr>
        <w:ind w:left="0"/>
        <w:jc w:val="center"/>
        <w:rPr>
          <w:b/>
        </w:rPr>
      </w:pPr>
      <w:r>
        <w:rPr>
          <w:rFonts w:ascii="Calibri" w:eastAsia="Calibri" w:hAnsi="Calibri" w:cs="Times New Roman"/>
          <w:noProof/>
          <w:sz w:val="22"/>
          <w:szCs w:val="22"/>
          <w:lang w:val="es-SV" w:eastAsia="es-SV"/>
        </w:rPr>
        <w:drawing>
          <wp:inline distT="0" distB="0" distL="0" distR="0">
            <wp:extent cx="1232430" cy="1295400"/>
            <wp:effectExtent l="0" t="0" r="6350" b="0"/>
            <wp:docPr id="1" name="Picture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ar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66" cy="1295438"/>
                    </a:xfrm>
                    <a:prstGeom prst="rect">
                      <a:avLst/>
                    </a:prstGeom>
                    <a:noFill/>
                    <a:ln>
                      <a:noFill/>
                    </a:ln>
                  </pic:spPr>
                </pic:pic>
              </a:graphicData>
            </a:graphic>
          </wp:inline>
        </w:drawing>
      </w:r>
      <w:r>
        <w:rPr>
          <w:b/>
          <w:noProof/>
          <w:lang w:val="es-SV" w:eastAsia="es-SV"/>
        </w:rPr>
        <w:t xml:space="preserve">             </w:t>
      </w:r>
      <w:r>
        <w:rPr>
          <w:b/>
          <w:noProof/>
          <w:lang w:val="es-SV" w:eastAsia="es-SV"/>
        </w:rPr>
        <w:drawing>
          <wp:inline distT="0" distB="0" distL="0" distR="0" wp14:anchorId="242E8FC4">
            <wp:extent cx="1149242"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176" cy="1260510"/>
                    </a:xfrm>
                    <a:prstGeom prst="rect">
                      <a:avLst/>
                    </a:prstGeom>
                    <a:noFill/>
                  </pic:spPr>
                </pic:pic>
              </a:graphicData>
            </a:graphic>
          </wp:inline>
        </w:drawing>
      </w:r>
    </w:p>
    <w:p w:rsidR="00BA7F6E" w:rsidRPr="00BA7F6E" w:rsidRDefault="00BA7F6E" w:rsidP="00BA7F6E">
      <w:pPr>
        <w:ind w:left="0"/>
        <w:jc w:val="center"/>
        <w:rPr>
          <w:b/>
        </w:rPr>
      </w:pPr>
    </w:p>
    <w:p w:rsidR="00BA7F6E" w:rsidRPr="00BA7F6E" w:rsidRDefault="00BA7F6E" w:rsidP="00BA7F6E">
      <w:pPr>
        <w:autoSpaceDE w:val="0"/>
        <w:autoSpaceDN w:val="0"/>
        <w:adjustRightInd w:val="0"/>
        <w:ind w:left="0"/>
        <w:jc w:val="center"/>
      </w:pPr>
      <w:r w:rsidRPr="00BA7F6E">
        <w:rPr>
          <w:b/>
        </w:rPr>
        <w:t>“APLICACIÓN DE ESCALA UNAL EN PACIENTES CON HEMORRAGIA DIGESTIVA ACTIVA QUE AMERITARON ENDOSCOPIA TEMPRANA EN EL HOSPITAL GENERAL Y HMQ DEL ISSS”</w:t>
      </w: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ind w:left="0" w:firstLine="708"/>
        <w:jc w:val="center"/>
        <w:rPr>
          <w:lang w:val="pt-BR"/>
        </w:rPr>
      </w:pPr>
      <w:r w:rsidRPr="00BA7F6E">
        <w:rPr>
          <w:lang w:val="pt-BR"/>
        </w:rPr>
        <w:t>INFORME FINAL PRESENTADO POR:</w:t>
      </w:r>
    </w:p>
    <w:p w:rsidR="00BA7F6E" w:rsidRPr="00BA7F6E" w:rsidRDefault="00BA7F6E" w:rsidP="00BA7F6E">
      <w:pPr>
        <w:ind w:left="0"/>
        <w:jc w:val="center"/>
        <w:rPr>
          <w:lang w:val="pt-BR"/>
        </w:rPr>
      </w:pPr>
    </w:p>
    <w:p w:rsidR="00BA7F6E" w:rsidRPr="00BA7F6E" w:rsidRDefault="00BA7F6E" w:rsidP="00BA7F6E">
      <w:pPr>
        <w:ind w:left="0"/>
        <w:jc w:val="center"/>
      </w:pPr>
      <w:r w:rsidRPr="00BA7F6E">
        <w:t>RAFAEL ERNESTO AGUIRRE QUINTANILLA</w:t>
      </w: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ind w:left="0"/>
        <w:jc w:val="center"/>
      </w:pPr>
      <w:r w:rsidRPr="00BA7F6E">
        <w:t>PARA OPTAR AL TITULO DE:</w:t>
      </w:r>
    </w:p>
    <w:p w:rsidR="00BA7F6E" w:rsidRPr="00BA7F6E" w:rsidRDefault="00BA7F6E" w:rsidP="00BA7F6E">
      <w:pPr>
        <w:ind w:left="0"/>
        <w:jc w:val="center"/>
      </w:pPr>
    </w:p>
    <w:p w:rsidR="00BA7F6E" w:rsidRPr="00BA7F6E" w:rsidRDefault="00BA7F6E" w:rsidP="00BA7F6E">
      <w:pPr>
        <w:ind w:left="0"/>
        <w:jc w:val="center"/>
        <w:rPr>
          <w:b/>
        </w:rPr>
      </w:pPr>
      <w:r w:rsidRPr="00BA7F6E">
        <w:rPr>
          <w:b/>
        </w:rPr>
        <w:t>ESPECIALISTA EN MEDICINA INTERNA</w:t>
      </w: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tabs>
          <w:tab w:val="left" w:pos="5835"/>
        </w:tabs>
        <w:ind w:left="0"/>
        <w:jc w:val="left"/>
      </w:pPr>
    </w:p>
    <w:p w:rsidR="00BA7F6E" w:rsidRPr="00BA7F6E" w:rsidRDefault="00BA7F6E" w:rsidP="00BA7F6E">
      <w:pPr>
        <w:tabs>
          <w:tab w:val="left" w:pos="5835"/>
        </w:tabs>
        <w:ind w:left="0"/>
        <w:jc w:val="left"/>
      </w:pP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ind w:left="0"/>
        <w:jc w:val="center"/>
      </w:pPr>
    </w:p>
    <w:p w:rsidR="00BA7F6E" w:rsidRPr="00BA7F6E" w:rsidRDefault="00BA7F6E" w:rsidP="00BA7F6E">
      <w:pPr>
        <w:ind w:left="0"/>
        <w:jc w:val="center"/>
      </w:pPr>
    </w:p>
    <w:p w:rsidR="00BA7F6E" w:rsidRDefault="00BA7F6E" w:rsidP="00BA7F6E">
      <w:pPr>
        <w:ind w:left="0"/>
        <w:jc w:val="center"/>
      </w:pPr>
      <w:r w:rsidRPr="00BA7F6E">
        <w:t>SAN</w:t>
      </w:r>
      <w:r>
        <w:t xml:space="preserve"> SALVADOR, 17 DE OCTUBRE,  2011.</w:t>
      </w:r>
    </w:p>
    <w:p w:rsidR="00BA7F6E" w:rsidRDefault="00BA7F6E" w:rsidP="00BA7F6E">
      <w:pPr>
        <w:ind w:left="0"/>
        <w:jc w:val="center"/>
      </w:pPr>
    </w:p>
    <w:p w:rsidR="00BA7F6E" w:rsidRDefault="00BA7F6E" w:rsidP="00BA7F6E">
      <w:pPr>
        <w:ind w:left="0"/>
        <w:jc w:val="center"/>
      </w:pPr>
    </w:p>
    <w:p w:rsidR="00BA7F6E" w:rsidRDefault="00BA7F6E" w:rsidP="00BA7F6E">
      <w:pPr>
        <w:ind w:left="0"/>
        <w:jc w:val="center"/>
      </w:pPr>
    </w:p>
    <w:p w:rsidR="00BA7F6E" w:rsidRPr="00BA7F6E" w:rsidRDefault="00BA7F6E" w:rsidP="00BA7F6E">
      <w:pPr>
        <w:ind w:left="0"/>
        <w:jc w:val="center"/>
      </w:pPr>
    </w:p>
    <w:p w:rsidR="00BA7F6E" w:rsidRDefault="00BA7F6E" w:rsidP="00576B25">
      <w:pPr>
        <w:ind w:left="0"/>
        <w:jc w:val="center"/>
        <w:rPr>
          <w:caps/>
        </w:rPr>
      </w:pPr>
    </w:p>
    <w:p w:rsidR="00576B25" w:rsidRPr="00576B25" w:rsidRDefault="00576B25" w:rsidP="00576B25">
      <w:pPr>
        <w:ind w:left="0"/>
        <w:jc w:val="left"/>
      </w:pPr>
      <w:r w:rsidRPr="00576B25">
        <w:rPr>
          <w:b/>
        </w:rPr>
        <w:lastRenderedPageBreak/>
        <w:t>INDICE                                                                                    Págs.</w:t>
      </w:r>
    </w:p>
    <w:p w:rsidR="00576B25" w:rsidRPr="00576B25" w:rsidRDefault="00576B25" w:rsidP="00576B25">
      <w:pPr>
        <w:ind w:left="0"/>
        <w:jc w:val="left"/>
      </w:pPr>
    </w:p>
    <w:p w:rsidR="00576B25" w:rsidRPr="00576B25" w:rsidRDefault="00576B25" w:rsidP="00576B25">
      <w:pPr>
        <w:ind w:left="0"/>
        <w:jc w:val="left"/>
      </w:pPr>
      <w:r w:rsidRPr="00576B25">
        <w:t xml:space="preserve"> 1.</w:t>
      </w:r>
      <w:r w:rsidRPr="00576B25">
        <w:tab/>
        <w:t>Resumen ejecutivo</w:t>
      </w:r>
    </w:p>
    <w:p w:rsidR="00576B25" w:rsidRPr="00576B25" w:rsidRDefault="00576B25" w:rsidP="00576B25">
      <w:pPr>
        <w:ind w:left="0"/>
        <w:jc w:val="left"/>
      </w:pPr>
    </w:p>
    <w:p w:rsidR="00576B25" w:rsidRPr="00576B25" w:rsidRDefault="00576B25" w:rsidP="00576B25">
      <w:pPr>
        <w:ind w:left="0"/>
        <w:jc w:val="left"/>
      </w:pPr>
      <w:r w:rsidRPr="00576B25">
        <w:t xml:space="preserve"> 2.</w:t>
      </w:r>
      <w:r w:rsidRPr="00576B25">
        <w:tab/>
        <w:t>Introducción                                                                       i</w:t>
      </w:r>
    </w:p>
    <w:p w:rsidR="00576B25" w:rsidRPr="00576B25" w:rsidRDefault="00576B25" w:rsidP="00576B25">
      <w:pPr>
        <w:ind w:left="0"/>
        <w:jc w:val="left"/>
      </w:pPr>
    </w:p>
    <w:p w:rsidR="00576B25" w:rsidRPr="00576B25" w:rsidRDefault="00576B25" w:rsidP="00576B25">
      <w:pPr>
        <w:ind w:left="0"/>
        <w:jc w:val="left"/>
      </w:pPr>
      <w:r w:rsidRPr="00576B25">
        <w:t xml:space="preserve"> 3.</w:t>
      </w:r>
      <w:r w:rsidRPr="00576B25">
        <w:tab/>
        <w:t>Objetivos                                                                           1</w:t>
      </w:r>
    </w:p>
    <w:p w:rsidR="00576B25" w:rsidRPr="00576B25" w:rsidRDefault="00576B25" w:rsidP="00576B25">
      <w:pPr>
        <w:ind w:left="0"/>
        <w:jc w:val="left"/>
      </w:pPr>
    </w:p>
    <w:p w:rsidR="00576B25" w:rsidRPr="00576B25" w:rsidRDefault="00576B25" w:rsidP="00576B25">
      <w:pPr>
        <w:ind w:left="0"/>
        <w:jc w:val="left"/>
      </w:pPr>
      <w:r w:rsidRPr="00576B25">
        <w:t xml:space="preserve"> 4.</w:t>
      </w:r>
      <w:r w:rsidRPr="00576B25">
        <w:tab/>
        <w:t>Marco teórico                                                                 2 - 10</w:t>
      </w:r>
    </w:p>
    <w:p w:rsidR="00576B25" w:rsidRPr="00576B25" w:rsidRDefault="00576B25" w:rsidP="00576B25">
      <w:pPr>
        <w:ind w:left="0"/>
        <w:jc w:val="left"/>
      </w:pPr>
    </w:p>
    <w:p w:rsidR="00576B25" w:rsidRPr="00576B25" w:rsidRDefault="00576B25" w:rsidP="00576B25">
      <w:pPr>
        <w:ind w:left="0"/>
        <w:jc w:val="left"/>
      </w:pPr>
      <w:r w:rsidRPr="00576B25">
        <w:t xml:space="preserve">    4.1</w:t>
      </w:r>
      <w:r w:rsidRPr="00576B25">
        <w:tab/>
        <w:t xml:space="preserve"> Generalidades                                                               2 - 3</w:t>
      </w:r>
    </w:p>
    <w:p w:rsidR="00576B25" w:rsidRPr="00576B25" w:rsidRDefault="00576B25" w:rsidP="00576B25">
      <w:pPr>
        <w:ind w:left="0"/>
        <w:jc w:val="left"/>
      </w:pPr>
    </w:p>
    <w:p w:rsidR="00576B25" w:rsidRPr="00576B25" w:rsidRDefault="00576B25" w:rsidP="00576B25">
      <w:pPr>
        <w:ind w:left="0"/>
        <w:jc w:val="left"/>
      </w:pPr>
      <w:r w:rsidRPr="00576B25">
        <w:t xml:space="preserve">    4.2  Endoscopia                                                                    3 - 6</w:t>
      </w:r>
      <w:r w:rsidRPr="00576B25">
        <w:tab/>
      </w:r>
    </w:p>
    <w:p w:rsidR="00576B25" w:rsidRPr="00576B25" w:rsidRDefault="00576B25" w:rsidP="00576B25">
      <w:pPr>
        <w:ind w:left="0"/>
        <w:jc w:val="left"/>
      </w:pPr>
    </w:p>
    <w:p w:rsidR="00576B25" w:rsidRPr="00576B25" w:rsidRDefault="00576B25" w:rsidP="00576B25">
      <w:pPr>
        <w:ind w:left="0"/>
        <w:jc w:val="left"/>
      </w:pPr>
      <w:r w:rsidRPr="00576B25">
        <w:t xml:space="preserve">    4.3  Escala UNAL                                                                 6 - 10</w:t>
      </w:r>
    </w:p>
    <w:p w:rsidR="00576B25" w:rsidRPr="00576B25" w:rsidRDefault="00576B25" w:rsidP="00576B25">
      <w:pPr>
        <w:ind w:left="0"/>
        <w:jc w:val="left"/>
      </w:pPr>
      <w:r w:rsidRPr="00576B25">
        <w:t xml:space="preserve"> </w:t>
      </w:r>
    </w:p>
    <w:p w:rsidR="00576B25" w:rsidRPr="00576B25" w:rsidRDefault="00576B25" w:rsidP="00576B25">
      <w:pPr>
        <w:ind w:left="0"/>
        <w:jc w:val="left"/>
      </w:pPr>
      <w:r w:rsidRPr="00576B25">
        <w:t xml:space="preserve"> 5.</w:t>
      </w:r>
      <w:r w:rsidRPr="00576B25">
        <w:tab/>
        <w:t>Hipótesis                                                                          11</w:t>
      </w:r>
    </w:p>
    <w:p w:rsidR="00576B25" w:rsidRPr="00576B25" w:rsidRDefault="00576B25" w:rsidP="00576B25">
      <w:pPr>
        <w:ind w:left="0"/>
        <w:jc w:val="left"/>
      </w:pPr>
    </w:p>
    <w:p w:rsidR="00576B25" w:rsidRPr="00576B25" w:rsidRDefault="00576B25" w:rsidP="00576B25">
      <w:pPr>
        <w:ind w:left="0"/>
        <w:jc w:val="left"/>
      </w:pPr>
      <w:r w:rsidRPr="00576B25">
        <w:t xml:space="preserve"> 6.</w:t>
      </w:r>
      <w:r w:rsidRPr="00576B25">
        <w:tab/>
        <w:t>Diseño metodológico                                                    12 - 16</w:t>
      </w:r>
    </w:p>
    <w:p w:rsidR="00576B25" w:rsidRPr="00576B25" w:rsidRDefault="00576B25" w:rsidP="00576B25">
      <w:pPr>
        <w:ind w:left="0"/>
        <w:jc w:val="left"/>
      </w:pPr>
    </w:p>
    <w:p w:rsidR="00576B25" w:rsidRPr="00576B25" w:rsidRDefault="00576B25" w:rsidP="00576B25">
      <w:pPr>
        <w:ind w:left="0"/>
        <w:jc w:val="left"/>
      </w:pPr>
      <w:r w:rsidRPr="00576B25">
        <w:t xml:space="preserve"> 7.</w:t>
      </w:r>
      <w:r w:rsidRPr="00576B25">
        <w:tab/>
        <w:t>Presentación de resultados                                          17 - 20</w:t>
      </w:r>
    </w:p>
    <w:p w:rsidR="00576B25" w:rsidRPr="00576B25" w:rsidRDefault="00576B25" w:rsidP="00576B25">
      <w:pPr>
        <w:ind w:left="0"/>
        <w:jc w:val="left"/>
      </w:pPr>
    </w:p>
    <w:p w:rsidR="00576B25" w:rsidRPr="00576B25" w:rsidRDefault="00576B25" w:rsidP="00576B25">
      <w:pPr>
        <w:ind w:left="0"/>
        <w:jc w:val="left"/>
      </w:pPr>
      <w:r w:rsidRPr="00576B25">
        <w:t xml:space="preserve"> 8.</w:t>
      </w:r>
      <w:r w:rsidRPr="00576B25">
        <w:tab/>
        <w:t xml:space="preserve">Discusión de resultados                                                21 - 22                                                                    </w:t>
      </w:r>
    </w:p>
    <w:p w:rsidR="00576B25" w:rsidRPr="00576B25" w:rsidRDefault="00576B25" w:rsidP="00576B25">
      <w:pPr>
        <w:ind w:left="0"/>
        <w:jc w:val="left"/>
      </w:pPr>
    </w:p>
    <w:p w:rsidR="00576B25" w:rsidRPr="00576B25" w:rsidRDefault="00576B25" w:rsidP="00576B25">
      <w:pPr>
        <w:ind w:left="0"/>
        <w:jc w:val="left"/>
      </w:pPr>
      <w:r w:rsidRPr="00576B25">
        <w:t xml:space="preserve"> 9.</w:t>
      </w:r>
      <w:r w:rsidRPr="00576B25">
        <w:tab/>
        <w:t>Conclusiones                                                                    23</w:t>
      </w:r>
    </w:p>
    <w:p w:rsidR="00576B25" w:rsidRPr="00576B25" w:rsidRDefault="00576B25" w:rsidP="00576B25">
      <w:pPr>
        <w:ind w:left="0"/>
        <w:jc w:val="left"/>
      </w:pPr>
      <w:r w:rsidRPr="00576B25">
        <w:t xml:space="preserve">         </w:t>
      </w:r>
    </w:p>
    <w:p w:rsidR="00576B25" w:rsidRPr="00576B25" w:rsidRDefault="00576B25" w:rsidP="00576B25">
      <w:pPr>
        <w:ind w:left="0"/>
        <w:jc w:val="left"/>
      </w:pPr>
      <w:r w:rsidRPr="00576B25">
        <w:t>10. Recomendaciones                                                                24</w:t>
      </w:r>
    </w:p>
    <w:p w:rsidR="00576B25" w:rsidRPr="00576B25" w:rsidRDefault="00576B25" w:rsidP="00576B25">
      <w:pPr>
        <w:ind w:left="0"/>
        <w:jc w:val="left"/>
      </w:pPr>
    </w:p>
    <w:p w:rsidR="00576B25" w:rsidRPr="00576B25" w:rsidRDefault="00576B25" w:rsidP="00576B25">
      <w:pPr>
        <w:ind w:left="0"/>
        <w:jc w:val="left"/>
      </w:pPr>
      <w:r w:rsidRPr="00576B25">
        <w:t>11. Referencias Bibliográficas                                                 25 - 27</w:t>
      </w:r>
    </w:p>
    <w:p w:rsidR="00576B25" w:rsidRPr="00576B25" w:rsidRDefault="00576B25" w:rsidP="00576B25">
      <w:pPr>
        <w:ind w:left="0"/>
        <w:jc w:val="left"/>
      </w:pPr>
    </w:p>
    <w:p w:rsidR="00576B25" w:rsidRPr="00576B25" w:rsidRDefault="00576B25" w:rsidP="00576B25">
      <w:pPr>
        <w:ind w:left="0"/>
        <w:jc w:val="left"/>
      </w:pPr>
      <w:r w:rsidRPr="00576B25">
        <w:t xml:space="preserve">12. Anexos                                                                                  28             </w:t>
      </w:r>
    </w:p>
    <w:p w:rsidR="00576B25" w:rsidRPr="00576B25" w:rsidRDefault="00576B25" w:rsidP="00576B25">
      <w:pPr>
        <w:ind w:left="0"/>
        <w:jc w:val="left"/>
        <w:rPr>
          <w:b/>
        </w:rPr>
      </w:pPr>
    </w:p>
    <w:p w:rsidR="00576B25" w:rsidRPr="00576B25" w:rsidRDefault="00576B25" w:rsidP="00576B25">
      <w:pPr>
        <w:ind w:left="0"/>
        <w:rPr>
          <w:b/>
        </w:rPr>
      </w:pPr>
    </w:p>
    <w:p w:rsidR="00576B25" w:rsidRPr="00576B25" w:rsidRDefault="00576B25" w:rsidP="00576B25">
      <w:pPr>
        <w:ind w:left="0"/>
        <w:outlineLvl w:val="0"/>
      </w:pPr>
    </w:p>
    <w:p w:rsidR="00576B25" w:rsidRPr="00576B25" w:rsidRDefault="00576B25" w:rsidP="00576B25">
      <w:pPr>
        <w:ind w:left="0"/>
        <w:outlineLvl w:val="0"/>
      </w:pPr>
    </w:p>
    <w:p w:rsidR="00576B25" w:rsidRPr="00576B25" w:rsidRDefault="00576B25" w:rsidP="00576B25">
      <w:pPr>
        <w:spacing w:after="200" w:line="276" w:lineRule="auto"/>
        <w:ind w:left="0"/>
        <w:jc w:val="left"/>
        <w:rPr>
          <w:rFonts w:ascii="Calibri" w:eastAsia="Calibri" w:hAnsi="Calibri" w:cs="Times New Roman"/>
          <w:sz w:val="22"/>
          <w:szCs w:val="22"/>
          <w:lang w:val="es-SV" w:eastAsia="en-US"/>
        </w:rPr>
      </w:pPr>
    </w:p>
    <w:p w:rsidR="00576B25" w:rsidRDefault="00576B25" w:rsidP="002410CE">
      <w:pPr>
        <w:ind w:left="0"/>
        <w:jc w:val="center"/>
        <w:rPr>
          <w:b/>
        </w:rPr>
      </w:pPr>
    </w:p>
    <w:p w:rsidR="00576B25" w:rsidRDefault="00576B25" w:rsidP="002410CE">
      <w:pPr>
        <w:ind w:left="0"/>
        <w:jc w:val="center"/>
        <w:rPr>
          <w:b/>
        </w:rPr>
      </w:pPr>
    </w:p>
    <w:p w:rsidR="00576B25" w:rsidRDefault="00576B25" w:rsidP="002410CE">
      <w:pPr>
        <w:ind w:left="0"/>
        <w:jc w:val="center"/>
        <w:rPr>
          <w:b/>
        </w:rPr>
      </w:pPr>
    </w:p>
    <w:p w:rsidR="00576B25" w:rsidRDefault="00576B25" w:rsidP="002410CE">
      <w:pPr>
        <w:ind w:left="0"/>
        <w:jc w:val="center"/>
        <w:rPr>
          <w:b/>
        </w:rPr>
      </w:pPr>
    </w:p>
    <w:p w:rsidR="00576B25" w:rsidRDefault="00576B25" w:rsidP="002410CE">
      <w:pPr>
        <w:ind w:left="0"/>
        <w:jc w:val="center"/>
        <w:rPr>
          <w:b/>
        </w:rPr>
      </w:pPr>
    </w:p>
    <w:p w:rsidR="00576B25" w:rsidRDefault="00576B25" w:rsidP="002410CE">
      <w:pPr>
        <w:ind w:left="0"/>
        <w:jc w:val="center"/>
        <w:rPr>
          <w:b/>
        </w:rPr>
      </w:pPr>
    </w:p>
    <w:p w:rsidR="00576B25" w:rsidRDefault="00576B25" w:rsidP="002410CE">
      <w:pPr>
        <w:ind w:left="0"/>
        <w:jc w:val="center"/>
        <w:rPr>
          <w:b/>
        </w:rPr>
      </w:pPr>
    </w:p>
    <w:p w:rsidR="00576B25" w:rsidRPr="00576B25" w:rsidRDefault="00576B25" w:rsidP="00576B25">
      <w:pPr>
        <w:numPr>
          <w:ilvl w:val="0"/>
          <w:numId w:val="49"/>
        </w:numPr>
        <w:spacing w:after="200" w:line="276" w:lineRule="auto"/>
        <w:jc w:val="left"/>
        <w:rPr>
          <w:rFonts w:eastAsia="Calibri"/>
          <w:lang w:val="es-SV" w:eastAsia="en-US"/>
        </w:rPr>
      </w:pPr>
      <w:r w:rsidRPr="00576B25">
        <w:rPr>
          <w:rFonts w:eastAsia="Calibri"/>
          <w:lang w:val="es-SV" w:eastAsia="en-US"/>
        </w:rPr>
        <w:lastRenderedPageBreak/>
        <w:t>RESUMEN EJECUTIVO</w:t>
      </w:r>
      <w:bookmarkStart w:id="0" w:name="_GoBack"/>
      <w:bookmarkEnd w:id="0"/>
    </w:p>
    <w:p w:rsidR="00576B25" w:rsidRPr="00576B25" w:rsidRDefault="00576B25" w:rsidP="00576B25">
      <w:pPr>
        <w:spacing w:after="200"/>
        <w:ind w:left="0"/>
        <w:rPr>
          <w:rFonts w:eastAsia="Calibri"/>
          <w:lang w:val="es-SV" w:eastAsia="en-US"/>
        </w:rPr>
      </w:pPr>
      <w:r w:rsidRPr="00576B25">
        <w:rPr>
          <w:rFonts w:eastAsia="Calibri"/>
          <w:lang w:val="es-SV" w:eastAsia="en-US"/>
        </w:rPr>
        <w:t>En el presente trabajo se abordó la temática “Aplicación de la escala “UNAL” de predicción de sangrado activo en pacientes con hemorragia digestiva alta para establecer endoscopia temprana, que consultaron en los Hospitales General y Médico Quirúrgico del Instituto Salvadoreño del Seguro Social.” de Mayo a Septiembre de 2011; por medio una encuesta clínica en la cual se planteaba ítems como edad, sexo, nivel educativo entre otros así como datos cuantitativos para el cálculo de la escala UNAL.</w:t>
      </w:r>
    </w:p>
    <w:p w:rsidR="00576B25" w:rsidRPr="00576B25" w:rsidRDefault="00576B25" w:rsidP="00576B25">
      <w:pPr>
        <w:ind w:left="0"/>
        <w:rPr>
          <w:lang w:val="es-AR"/>
        </w:rPr>
      </w:pPr>
      <w:r w:rsidRPr="00576B25">
        <w:rPr>
          <w:lang w:val="es-AR"/>
        </w:rPr>
        <w:t>Se realizó una búsqueda en los libros acreditados de Gastroenterología, donde se recopilan las copias de todos los procedimientos endoscópicos realizados hasta completar la cifra de la muestra, posteriormente se tomaron los registros de las endoscopias positivas a sangrados activos. Se revisaron los expedientes clínicos de aquellas endoscopias positivas para evaluar el cumplimiento de los criterios de inclusión, luego se aplicó la escala UNAL según los parámetros clínicos y de laboratorio establecidos.</w:t>
      </w:r>
    </w:p>
    <w:p w:rsidR="00576B25" w:rsidRPr="00576B25" w:rsidRDefault="00576B25" w:rsidP="00576B25">
      <w:pPr>
        <w:ind w:left="0"/>
        <w:rPr>
          <w:lang w:val="es-AR"/>
        </w:rPr>
      </w:pPr>
    </w:p>
    <w:p w:rsidR="00576B25" w:rsidRPr="00576B25" w:rsidRDefault="00576B25" w:rsidP="00576B25">
      <w:pPr>
        <w:ind w:left="0"/>
        <w:rPr>
          <w:lang w:val="es-AR"/>
        </w:rPr>
      </w:pPr>
      <w:r w:rsidRPr="00576B25">
        <w:rPr>
          <w:lang w:val="es-AR"/>
        </w:rPr>
        <w:t xml:space="preserve">Se obtuvieron datos con respecto a la capacidad de la escala para discriminar a aquellos pacientes que tuvieron sangrado activo en hemorragia digestiva alta y en el 95% de pacientes fue capaz de identificar los pacientes que ameritaban endoscopia temprana por tener sangrado activo. El hallazgo de la escala que se observó en el 100% de los pacientes fue lavado gástrico positivo, la edad más frecuente observada fue la de mayor de 60 años con el 53% de la población en estudio, casi el 70% fueron mujeres, con un nivel educativo que oscilaba desde la primaria hasta universitarios. </w:t>
      </w:r>
    </w:p>
    <w:p w:rsidR="00576B25" w:rsidRPr="00576B25" w:rsidRDefault="00576B25" w:rsidP="00576B25">
      <w:pPr>
        <w:ind w:left="0"/>
        <w:rPr>
          <w:lang w:val="es-AR"/>
        </w:rPr>
      </w:pPr>
    </w:p>
    <w:p w:rsidR="00576B25" w:rsidRPr="00576B25" w:rsidRDefault="00576B25" w:rsidP="00576B25">
      <w:pPr>
        <w:ind w:left="0"/>
        <w:rPr>
          <w:lang w:val="es-AR"/>
        </w:rPr>
      </w:pPr>
      <w:r w:rsidRPr="00576B25">
        <w:rPr>
          <w:lang w:val="es-AR"/>
        </w:rPr>
        <w:t xml:space="preserve">Las comorbilidades asociadas fueron las anormalidades gástricas como la hernia </w:t>
      </w:r>
      <w:proofErr w:type="spellStart"/>
      <w:r w:rsidRPr="00576B25">
        <w:rPr>
          <w:lang w:val="es-AR"/>
        </w:rPr>
        <w:t>del</w:t>
      </w:r>
      <w:proofErr w:type="spellEnd"/>
      <w:r w:rsidRPr="00576B25">
        <w:rPr>
          <w:lang w:val="es-AR"/>
        </w:rPr>
        <w:t xml:space="preserve"> hiato y esofagitis, le sigue cirrosis, hipertensión arterial y diabetes entre otras. Los fármacos asociados en un 40% son los antiinflamatorios no esteroideos y los antihipertensivos.</w:t>
      </w:r>
    </w:p>
    <w:p w:rsidR="00576B25" w:rsidRPr="00576B25" w:rsidRDefault="00576B25" w:rsidP="00576B25">
      <w:pPr>
        <w:ind w:left="0"/>
        <w:rPr>
          <w:lang w:val="es-AR"/>
        </w:rPr>
      </w:pPr>
    </w:p>
    <w:p w:rsidR="00576B25" w:rsidRPr="00576B25" w:rsidRDefault="00576B25" w:rsidP="00576B25">
      <w:pPr>
        <w:ind w:left="0"/>
        <w:rPr>
          <w:lang w:val="es-AR"/>
        </w:rPr>
      </w:pPr>
      <w:r w:rsidRPr="00576B25">
        <w:rPr>
          <w:lang w:val="es-AR"/>
        </w:rPr>
        <w:t xml:space="preserve">Los hallazgos endoscópicos más frecuentes fueron la gastritis erosiva y varices esofágicas, en menor intensidad la gastritis </w:t>
      </w:r>
      <w:proofErr w:type="spellStart"/>
      <w:r w:rsidRPr="00576B25">
        <w:rPr>
          <w:lang w:val="es-AR"/>
        </w:rPr>
        <w:t>Antral</w:t>
      </w:r>
      <w:proofErr w:type="spellEnd"/>
      <w:r w:rsidRPr="00576B25">
        <w:rPr>
          <w:lang w:val="es-AR"/>
        </w:rPr>
        <w:t xml:space="preserve"> erosiva y la ulcera gástrica activa. 4 casos de carcinoma gástrico avanzado invasivo. </w:t>
      </w:r>
    </w:p>
    <w:p w:rsidR="00576B25" w:rsidRPr="00576B25" w:rsidRDefault="00576B25" w:rsidP="00576B25">
      <w:pPr>
        <w:ind w:left="0"/>
        <w:rPr>
          <w:lang w:val="es-AR"/>
        </w:rPr>
      </w:pPr>
    </w:p>
    <w:p w:rsidR="00576B25" w:rsidRDefault="00576B25" w:rsidP="00576B25">
      <w:pPr>
        <w:spacing w:after="200" w:line="276" w:lineRule="auto"/>
        <w:ind w:left="1101"/>
        <w:rPr>
          <w:b/>
        </w:rPr>
      </w:pPr>
    </w:p>
    <w:p w:rsidR="00576B25" w:rsidRDefault="00576B25" w:rsidP="00576B25">
      <w:pPr>
        <w:spacing w:after="200" w:line="276" w:lineRule="auto"/>
        <w:ind w:left="1101"/>
        <w:rPr>
          <w:b/>
        </w:rPr>
      </w:pPr>
    </w:p>
    <w:p w:rsidR="00576B25" w:rsidRDefault="00576B25" w:rsidP="00576B25">
      <w:pPr>
        <w:spacing w:after="200" w:line="276" w:lineRule="auto"/>
        <w:ind w:left="1101"/>
        <w:rPr>
          <w:b/>
        </w:rPr>
      </w:pPr>
    </w:p>
    <w:p w:rsidR="00576B25" w:rsidRDefault="00576B25" w:rsidP="00576B25">
      <w:pPr>
        <w:spacing w:after="200" w:line="276" w:lineRule="auto"/>
        <w:ind w:left="1101"/>
        <w:rPr>
          <w:b/>
        </w:rPr>
      </w:pPr>
    </w:p>
    <w:p w:rsidR="00576B25" w:rsidRPr="00576B25" w:rsidRDefault="00576B25" w:rsidP="00576B25">
      <w:pPr>
        <w:numPr>
          <w:ilvl w:val="0"/>
          <w:numId w:val="40"/>
        </w:numPr>
        <w:spacing w:after="200" w:line="276" w:lineRule="auto"/>
        <w:jc w:val="center"/>
        <w:rPr>
          <w:b/>
        </w:rPr>
      </w:pPr>
      <w:r w:rsidRPr="00576B25">
        <w:rPr>
          <w:b/>
        </w:rPr>
        <w:lastRenderedPageBreak/>
        <w:t>INTRODUCCION</w:t>
      </w:r>
    </w:p>
    <w:p w:rsidR="00576B25" w:rsidRPr="00576B25" w:rsidRDefault="00576B25" w:rsidP="00576B25">
      <w:pPr>
        <w:ind w:left="0"/>
      </w:pPr>
    </w:p>
    <w:p w:rsidR="00576B25" w:rsidRPr="00576B25" w:rsidRDefault="00576B25" w:rsidP="00576B25">
      <w:pPr>
        <w:ind w:left="0"/>
      </w:pPr>
    </w:p>
    <w:p w:rsidR="00576B25" w:rsidRPr="00576B25" w:rsidRDefault="00576B25" w:rsidP="00576B25">
      <w:pPr>
        <w:autoSpaceDE w:val="0"/>
        <w:autoSpaceDN w:val="0"/>
        <w:adjustRightInd w:val="0"/>
        <w:ind w:left="0"/>
      </w:pPr>
      <w:r w:rsidRPr="00576B25">
        <w:t>La hemorragia digestiva alta (HDA) es la principal emergencia en gastroenterología. A pesar de los avances en el diagnóstico y el tratamiento, la mortalidad se ha mantenido estable entre 5% a 10% durante las dos últimas décadas, cuando se incluyen todos los pacientes con HDA, pero se reduce hasta en 60%, cuando se analizan los pacientes que ameritan tratamiento endoscópico</w:t>
      </w:r>
      <w:r w:rsidRPr="00576B25">
        <w:rPr>
          <w:vertAlign w:val="superscript"/>
        </w:rPr>
        <w:t>1</w:t>
      </w:r>
      <w:r w:rsidRPr="00576B25">
        <w:t xml:space="preserve">. </w:t>
      </w:r>
    </w:p>
    <w:p w:rsidR="00576B25" w:rsidRPr="00576B25" w:rsidRDefault="00576B25" w:rsidP="00576B25">
      <w:pPr>
        <w:autoSpaceDE w:val="0"/>
        <w:autoSpaceDN w:val="0"/>
        <w:adjustRightInd w:val="0"/>
        <w:ind w:left="0"/>
      </w:pPr>
      <w:r w:rsidRPr="00576B25">
        <w:t xml:space="preserve">Esto se debe fundamentalmente al envejecimiento progresivo de la población y al aumento de la proporción de pacientes de edad avanzada con enfermedades asociadas, en los que se concentra la mortalidad </w:t>
      </w:r>
      <w:r w:rsidRPr="00576B25">
        <w:rPr>
          <w:vertAlign w:val="superscript"/>
        </w:rPr>
        <w:t>1</w:t>
      </w:r>
      <w:r w:rsidRPr="00576B25">
        <w:t xml:space="preserve">. </w:t>
      </w:r>
    </w:p>
    <w:p w:rsidR="00576B25" w:rsidRPr="00576B25" w:rsidRDefault="00576B25" w:rsidP="00576B25">
      <w:pPr>
        <w:autoSpaceDE w:val="0"/>
        <w:autoSpaceDN w:val="0"/>
        <w:adjustRightInd w:val="0"/>
        <w:ind w:left="0"/>
      </w:pPr>
      <w:r w:rsidRPr="00576B25">
        <w:t xml:space="preserve">La HDA constituye la causa más común de interconsulta al gastroenterólogo en los servicios de urgencias </w:t>
      </w:r>
      <w:r w:rsidRPr="00576B25">
        <w:rPr>
          <w:vertAlign w:val="superscript"/>
        </w:rPr>
        <w:t>1, 2</w:t>
      </w:r>
      <w:r w:rsidRPr="00576B25">
        <w:t xml:space="preserve">. </w:t>
      </w:r>
    </w:p>
    <w:p w:rsidR="00576B25" w:rsidRPr="00576B25" w:rsidRDefault="00576B25" w:rsidP="00576B25">
      <w:pPr>
        <w:autoSpaceDE w:val="0"/>
        <w:autoSpaceDN w:val="0"/>
        <w:adjustRightInd w:val="0"/>
        <w:ind w:left="0"/>
      </w:pPr>
      <w:r w:rsidRPr="00576B25">
        <w:t xml:space="preserve">Los pacientes que la presentan ingresan al hospital en condiciones clínicas muy variables que van desde la simple presencia de melenas, sin compromiso hemodinámico, hasta una condición grave con sangrado masivo y shock hipovolémico que pone en riesgo la vida </w:t>
      </w:r>
      <w:r w:rsidRPr="00576B25">
        <w:rPr>
          <w:vertAlign w:val="superscript"/>
        </w:rPr>
        <w:t>2</w:t>
      </w:r>
      <w:r w:rsidRPr="00576B25">
        <w:t xml:space="preserve">. </w:t>
      </w:r>
    </w:p>
    <w:p w:rsidR="00576B25" w:rsidRPr="00576B25" w:rsidRDefault="00576B25" w:rsidP="00576B25">
      <w:pPr>
        <w:autoSpaceDE w:val="0"/>
        <w:autoSpaceDN w:val="0"/>
        <w:adjustRightInd w:val="0"/>
        <w:ind w:left="0"/>
      </w:pPr>
      <w:r w:rsidRPr="00576B25">
        <w:t xml:space="preserve">La endoscopia digestiva alta (EDA) es la piedra angular para el manejo de estos pacientes porque permite establecer la causa de la hemorragia, definir el pronóstico y brindar tratamiento para detener el sangrado y prevenir su recurrencia </w:t>
      </w:r>
      <w:r w:rsidRPr="00576B25">
        <w:rPr>
          <w:vertAlign w:val="superscript"/>
        </w:rPr>
        <w:t>1-3</w:t>
      </w:r>
      <w:r w:rsidRPr="00576B25">
        <w:t xml:space="preserve">. </w:t>
      </w:r>
    </w:p>
    <w:p w:rsidR="00576B25" w:rsidRPr="00576B25" w:rsidRDefault="00576B25" w:rsidP="00576B25">
      <w:pPr>
        <w:autoSpaceDE w:val="0"/>
        <w:autoSpaceDN w:val="0"/>
        <w:adjustRightInd w:val="0"/>
        <w:ind w:left="0"/>
      </w:pPr>
      <w:r w:rsidRPr="00576B25">
        <w:t xml:space="preserve">Con frecuencia estos pacientes son motivo de alarma por parte de los médicos que los atienden, y lleva a que se soliciten en forma indiscriminada numerosas endoscopias inmediatas o urgentes. En muchos casos el </w:t>
      </w:r>
      <w:proofErr w:type="spellStart"/>
      <w:r w:rsidRPr="00576B25">
        <w:t>endoscopista</w:t>
      </w:r>
      <w:proofErr w:type="spellEnd"/>
      <w:r w:rsidRPr="00576B25">
        <w:t xml:space="preserve"> encuentra que el paciente no presenta sangrado activo o no tiene ninguna lesión que amerite una intervención endoscópica. Esta alta demanda de endoscopias urgentes e innecesarias genera altos costos en términos de disponibilidad de servicios de endoscopia y de especialistas durante las 24 horas y los siete días de la semana. </w:t>
      </w:r>
    </w:p>
    <w:p w:rsidR="00576B25" w:rsidRPr="00576B25" w:rsidRDefault="00576B25" w:rsidP="00576B25">
      <w:pPr>
        <w:autoSpaceDE w:val="0"/>
        <w:autoSpaceDN w:val="0"/>
        <w:adjustRightInd w:val="0"/>
        <w:ind w:left="0"/>
      </w:pPr>
      <w:r w:rsidRPr="00576B25">
        <w:t xml:space="preserve">Por esta razón es de gran importancia determinar cuáles pacientes con HDA están presentando sangrado activo al momento del ingreso y requieren de manera urgente o inmediata una endoscopia y cuáles pacientes ya no tienen sangrado activo y por lo tanto pueden esperar para que el procedimiento se les realice de manera diferida sin correr el riesgo de sufrir complicaciones serias por la demora del procedimiento. </w:t>
      </w:r>
    </w:p>
    <w:p w:rsidR="00576B25" w:rsidRPr="00576B25" w:rsidRDefault="00576B25" w:rsidP="00576B25">
      <w:pPr>
        <w:autoSpaceDE w:val="0"/>
        <w:autoSpaceDN w:val="0"/>
        <w:adjustRightInd w:val="0"/>
        <w:ind w:left="0"/>
      </w:pPr>
      <w:r w:rsidRPr="00576B25">
        <w:t xml:space="preserve">La discriminación de estos dos grupos es fundamental porque los pacientes que tienen sangrado activo son los que tienen peor pronóstico en términos de </w:t>
      </w:r>
      <w:proofErr w:type="spellStart"/>
      <w:r w:rsidRPr="00576B25">
        <w:t>morbi</w:t>
      </w:r>
      <w:proofErr w:type="spellEnd"/>
      <w:r w:rsidRPr="00576B25">
        <w:t xml:space="preserve"> mortalidad y es en ellos en donde la endoscopia realizada antes de 12 horas tiene gran impacto al poder realizar hemostasia con los diferentes métodos actualmente disponibles y de esta manera disminuir la mortalidad</w:t>
      </w:r>
      <w:r w:rsidRPr="00576B25">
        <w:rPr>
          <w:vertAlign w:val="superscript"/>
        </w:rPr>
        <w:t>1-3</w:t>
      </w:r>
      <w:r w:rsidRPr="00576B25">
        <w:t>.</w:t>
      </w:r>
    </w:p>
    <w:p w:rsidR="00576B25" w:rsidRDefault="00576B25" w:rsidP="002410CE">
      <w:pPr>
        <w:ind w:left="0"/>
        <w:jc w:val="center"/>
        <w:rPr>
          <w:b/>
        </w:rPr>
      </w:pPr>
    </w:p>
    <w:p w:rsidR="00576B25" w:rsidRDefault="00576B25" w:rsidP="002410CE">
      <w:pPr>
        <w:ind w:left="0"/>
        <w:jc w:val="center"/>
        <w:rPr>
          <w:b/>
        </w:rPr>
      </w:pPr>
    </w:p>
    <w:p w:rsidR="00C7613C" w:rsidRPr="004D12DB" w:rsidRDefault="008E7873" w:rsidP="002410CE">
      <w:pPr>
        <w:ind w:left="0"/>
        <w:jc w:val="center"/>
        <w:rPr>
          <w:b/>
        </w:rPr>
      </w:pPr>
      <w:r>
        <w:rPr>
          <w:b/>
        </w:rPr>
        <w:lastRenderedPageBreak/>
        <w:t>3</w:t>
      </w:r>
      <w:r w:rsidR="00A5286C">
        <w:rPr>
          <w:b/>
        </w:rPr>
        <w:t xml:space="preserve">. </w:t>
      </w:r>
      <w:r w:rsidR="00C7613C" w:rsidRPr="004D12DB">
        <w:rPr>
          <w:b/>
        </w:rPr>
        <w:t>OBJETIVOS</w:t>
      </w:r>
    </w:p>
    <w:p w:rsidR="00C7613C" w:rsidRDefault="00C7613C" w:rsidP="002410CE">
      <w:pPr>
        <w:ind w:left="0"/>
      </w:pPr>
    </w:p>
    <w:p w:rsidR="00C7613C" w:rsidRDefault="00C7613C" w:rsidP="002410CE">
      <w:pPr>
        <w:ind w:left="0"/>
      </w:pPr>
    </w:p>
    <w:p w:rsidR="00C7613C" w:rsidRPr="004D12DB" w:rsidRDefault="008E7873" w:rsidP="002410CE">
      <w:pPr>
        <w:ind w:left="0"/>
        <w:outlineLvl w:val="0"/>
        <w:rPr>
          <w:b/>
        </w:rPr>
      </w:pPr>
      <w:r>
        <w:rPr>
          <w:b/>
        </w:rPr>
        <w:t>3</w:t>
      </w:r>
      <w:r w:rsidR="00624C15">
        <w:rPr>
          <w:b/>
        </w:rPr>
        <w:t xml:space="preserve">.1 </w:t>
      </w:r>
      <w:r w:rsidR="00A00ADE" w:rsidRPr="004D12DB">
        <w:rPr>
          <w:b/>
        </w:rPr>
        <w:t>OBJETIVO GENERAL</w:t>
      </w:r>
    </w:p>
    <w:p w:rsidR="00057A7D" w:rsidRDefault="00057A7D" w:rsidP="002410CE">
      <w:pPr>
        <w:ind w:left="0"/>
      </w:pPr>
    </w:p>
    <w:p w:rsidR="00241D68" w:rsidRDefault="00057A7D" w:rsidP="002410CE">
      <w:pPr>
        <w:ind w:left="0"/>
      </w:pPr>
      <w:r>
        <w:t>Aplicar</w:t>
      </w:r>
      <w:r w:rsidR="004C1061" w:rsidRPr="004C1061">
        <w:t xml:space="preserve"> la escala “UNAL” de predicción</w:t>
      </w:r>
      <w:r w:rsidR="000D6725">
        <w:t xml:space="preserve"> de sangrado activo</w:t>
      </w:r>
      <w:r w:rsidR="004C1061" w:rsidRPr="004C1061">
        <w:t xml:space="preserve"> en pacientes con hemorragia digestiva alta para establecer endoscopia temprana, que consultaron en los Hospitales General y Médico Quirúrgico del Instituto Salvadoreño del Seguro Social</w:t>
      </w:r>
      <w:r w:rsidR="00594C22">
        <w:t xml:space="preserve"> de Mayo a Septiembre de 2011.</w:t>
      </w:r>
    </w:p>
    <w:p w:rsidR="00C7613C" w:rsidRDefault="00C7613C" w:rsidP="002410CE">
      <w:pPr>
        <w:ind w:left="0"/>
      </w:pPr>
    </w:p>
    <w:p w:rsidR="00C7613C" w:rsidRDefault="00C7613C" w:rsidP="002410CE">
      <w:pPr>
        <w:ind w:left="0"/>
      </w:pPr>
    </w:p>
    <w:p w:rsidR="00C7613C" w:rsidRPr="004D12DB" w:rsidRDefault="008E7873" w:rsidP="002410CE">
      <w:pPr>
        <w:ind w:left="0"/>
        <w:outlineLvl w:val="0"/>
        <w:rPr>
          <w:b/>
        </w:rPr>
      </w:pPr>
      <w:r>
        <w:rPr>
          <w:b/>
        </w:rPr>
        <w:t>3</w:t>
      </w:r>
      <w:r w:rsidR="00624C15">
        <w:rPr>
          <w:b/>
        </w:rPr>
        <w:t xml:space="preserve">.2 </w:t>
      </w:r>
      <w:r w:rsidR="00A00ADE" w:rsidRPr="004D12DB">
        <w:rPr>
          <w:b/>
        </w:rPr>
        <w:t>OBJETIVOS ESPECIFICOS</w:t>
      </w:r>
    </w:p>
    <w:p w:rsidR="00A00ADE" w:rsidRDefault="00A00ADE" w:rsidP="002410CE">
      <w:pPr>
        <w:ind w:left="0"/>
      </w:pPr>
    </w:p>
    <w:p w:rsidR="00241D68" w:rsidRDefault="00F17798" w:rsidP="002410CE">
      <w:pPr>
        <w:pStyle w:val="ListParagraph"/>
        <w:numPr>
          <w:ilvl w:val="0"/>
          <w:numId w:val="34"/>
        </w:numPr>
        <w:autoSpaceDE w:val="0"/>
        <w:autoSpaceDN w:val="0"/>
        <w:adjustRightInd w:val="0"/>
        <w:ind w:left="0"/>
      </w:pPr>
      <w:r>
        <w:t>Determinar la efectividad de la</w:t>
      </w:r>
      <w:r w:rsidR="009F6D50">
        <w:t xml:space="preserve"> escala</w:t>
      </w:r>
      <w:r>
        <w:t xml:space="preserve"> UNAL</w:t>
      </w:r>
      <w:r w:rsidRPr="00F17798">
        <w:t xml:space="preserve"> para la discriminación de sangrado activo en Hemorrag</w:t>
      </w:r>
      <w:r>
        <w:t xml:space="preserve">ia Digestiva Alta </w:t>
      </w:r>
      <w:r w:rsidR="009F6D50">
        <w:t xml:space="preserve">en una muestra de </w:t>
      </w:r>
      <w:r w:rsidR="00241D68" w:rsidRPr="00241D68">
        <w:t>pacientes</w:t>
      </w:r>
      <w:r w:rsidR="009F6D50">
        <w:t xml:space="preserve"> de forma retrospectiva</w:t>
      </w:r>
      <w:r>
        <w:t>.</w:t>
      </w:r>
    </w:p>
    <w:p w:rsidR="00241D68" w:rsidRPr="00241D68" w:rsidRDefault="00241D68" w:rsidP="002410CE">
      <w:pPr>
        <w:pStyle w:val="ListParagraph"/>
        <w:ind w:left="0"/>
      </w:pPr>
    </w:p>
    <w:p w:rsidR="00241D68" w:rsidRPr="00241D68" w:rsidRDefault="00241D68" w:rsidP="002410CE">
      <w:pPr>
        <w:pStyle w:val="ListParagraph"/>
        <w:numPr>
          <w:ilvl w:val="0"/>
          <w:numId w:val="34"/>
        </w:numPr>
        <w:autoSpaceDE w:val="0"/>
        <w:autoSpaceDN w:val="0"/>
        <w:adjustRightInd w:val="0"/>
        <w:ind w:left="0"/>
      </w:pPr>
      <w:r w:rsidRPr="00241D68">
        <w:t xml:space="preserve">Evaluar los diferentes </w:t>
      </w:r>
      <w:r w:rsidR="000D6725">
        <w:t xml:space="preserve">hallazgos clínicos y de laboratorio necesarios para el cálculo de la escala UNAL </w:t>
      </w:r>
      <w:r w:rsidR="009F6D50">
        <w:t>present</w:t>
      </w:r>
      <w:r w:rsidR="000D6725">
        <w:t>esen</w:t>
      </w:r>
      <w:r w:rsidR="009F6D50">
        <w:t xml:space="preserve"> H</w:t>
      </w:r>
      <w:r w:rsidR="00315C30">
        <w:t xml:space="preserve">emorragia </w:t>
      </w:r>
      <w:r w:rsidRPr="00241D68">
        <w:t>D</w:t>
      </w:r>
      <w:r w:rsidR="00315C30">
        <w:t xml:space="preserve">igestiva </w:t>
      </w:r>
      <w:r w:rsidRPr="00241D68">
        <w:t>A</w:t>
      </w:r>
      <w:r w:rsidR="00315C30">
        <w:t>lta</w:t>
      </w:r>
      <w:r w:rsidRPr="00241D68">
        <w:t xml:space="preserve"> en la muestra de pacientes estudiados.</w:t>
      </w:r>
    </w:p>
    <w:p w:rsidR="00241D68" w:rsidRDefault="00241D68" w:rsidP="002410CE">
      <w:pPr>
        <w:pStyle w:val="ListParagraph"/>
        <w:ind w:left="0"/>
      </w:pPr>
    </w:p>
    <w:p w:rsidR="00DA31F3" w:rsidRDefault="00DA31F3" w:rsidP="00DA31F3">
      <w:pPr>
        <w:pStyle w:val="ListParagraph"/>
        <w:numPr>
          <w:ilvl w:val="0"/>
          <w:numId w:val="34"/>
        </w:numPr>
        <w:autoSpaceDE w:val="0"/>
        <w:autoSpaceDN w:val="0"/>
        <w:adjustRightInd w:val="0"/>
        <w:ind w:left="0"/>
      </w:pPr>
      <w:r>
        <w:t xml:space="preserve">Identificar las lesiones causales de Hemorragia </w:t>
      </w:r>
      <w:r w:rsidRPr="00241D68">
        <w:t>D</w:t>
      </w:r>
      <w:r>
        <w:t xml:space="preserve">igestiva </w:t>
      </w:r>
      <w:r w:rsidRPr="00241D68">
        <w:t>A</w:t>
      </w:r>
      <w:r>
        <w:t>lta</w:t>
      </w:r>
      <w:r w:rsidRPr="00241D68">
        <w:t xml:space="preserve"> en la muestra de pacientes estudiados.</w:t>
      </w:r>
    </w:p>
    <w:p w:rsidR="00DA31F3" w:rsidRDefault="00DA31F3" w:rsidP="00DA31F3">
      <w:pPr>
        <w:pStyle w:val="ListParagraph"/>
      </w:pPr>
    </w:p>
    <w:p w:rsidR="007409C2" w:rsidRDefault="00DA31F3" w:rsidP="00DA31F3">
      <w:pPr>
        <w:pStyle w:val="ListParagraph"/>
        <w:numPr>
          <w:ilvl w:val="0"/>
          <w:numId w:val="34"/>
        </w:numPr>
        <w:autoSpaceDE w:val="0"/>
        <w:autoSpaceDN w:val="0"/>
        <w:adjustRightInd w:val="0"/>
        <w:ind w:left="0"/>
      </w:pPr>
      <w:r>
        <w:t xml:space="preserve">Describir </w:t>
      </w:r>
      <w:r w:rsidR="006647B5">
        <w:t>las comorbilidades</w:t>
      </w:r>
      <w:r>
        <w:t xml:space="preserve"> asociadas</w:t>
      </w:r>
      <w:r w:rsidR="006647B5">
        <w:t xml:space="preserve"> encontradas en la población en estudio.</w:t>
      </w:r>
    </w:p>
    <w:p w:rsidR="007409C2" w:rsidRDefault="007409C2" w:rsidP="007409C2">
      <w:pPr>
        <w:pStyle w:val="ListParagraph"/>
      </w:pPr>
    </w:p>
    <w:p w:rsidR="00DA31F3" w:rsidRPr="00241D68" w:rsidRDefault="007409C2" w:rsidP="00DA31F3">
      <w:pPr>
        <w:pStyle w:val="ListParagraph"/>
        <w:numPr>
          <w:ilvl w:val="0"/>
          <w:numId w:val="34"/>
        </w:numPr>
        <w:autoSpaceDE w:val="0"/>
        <w:autoSpaceDN w:val="0"/>
        <w:adjustRightInd w:val="0"/>
        <w:ind w:left="0"/>
      </w:pPr>
      <w:r>
        <w:t xml:space="preserve">Determinar la asociación de edad y sexo con la Hemorragia Digestiva Alta. </w:t>
      </w: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8E7873" w:rsidRDefault="008E7873" w:rsidP="002410CE">
      <w:pPr>
        <w:pStyle w:val="ListParagraph"/>
        <w:ind w:left="0"/>
      </w:pPr>
    </w:p>
    <w:p w:rsidR="00C7613C" w:rsidRPr="008E7873" w:rsidRDefault="00AC544C" w:rsidP="00AC544C">
      <w:pPr>
        <w:pStyle w:val="ListParagraph"/>
        <w:ind w:left="720"/>
        <w:jc w:val="center"/>
        <w:rPr>
          <w:b/>
        </w:rPr>
      </w:pPr>
      <w:r>
        <w:rPr>
          <w:b/>
        </w:rPr>
        <w:lastRenderedPageBreak/>
        <w:t xml:space="preserve">4. </w:t>
      </w:r>
      <w:r w:rsidR="008E7873" w:rsidRPr="008E7873">
        <w:rPr>
          <w:b/>
        </w:rPr>
        <w:t>M</w:t>
      </w:r>
      <w:r w:rsidR="00C7613C" w:rsidRPr="008E7873">
        <w:rPr>
          <w:b/>
        </w:rPr>
        <w:t>ARCO TEORICO</w:t>
      </w:r>
    </w:p>
    <w:p w:rsidR="00B3726F" w:rsidRPr="00B94C8C" w:rsidRDefault="00B3726F" w:rsidP="002410CE">
      <w:pPr>
        <w:ind w:left="0"/>
        <w:jc w:val="center"/>
      </w:pPr>
    </w:p>
    <w:p w:rsidR="008E7873" w:rsidRPr="008E7873" w:rsidRDefault="008E7873" w:rsidP="008E7873">
      <w:pPr>
        <w:pStyle w:val="ListParagraph"/>
        <w:numPr>
          <w:ilvl w:val="1"/>
          <w:numId w:val="42"/>
        </w:numPr>
        <w:rPr>
          <w:b/>
        </w:rPr>
      </w:pPr>
      <w:r w:rsidRPr="008E7873">
        <w:rPr>
          <w:b/>
        </w:rPr>
        <w:t>Generalidades</w:t>
      </w:r>
    </w:p>
    <w:p w:rsidR="008E7873" w:rsidRPr="008E7873" w:rsidRDefault="008E7873" w:rsidP="008E7873">
      <w:pPr>
        <w:rPr>
          <w:b/>
        </w:rPr>
      </w:pPr>
    </w:p>
    <w:p w:rsidR="00C91521" w:rsidRPr="00161903" w:rsidRDefault="00536273" w:rsidP="002410CE">
      <w:pPr>
        <w:ind w:left="0"/>
        <w:rPr>
          <w:b/>
        </w:rPr>
      </w:pPr>
      <w:r w:rsidRPr="00161903">
        <w:rPr>
          <w:b/>
        </w:rPr>
        <w:t xml:space="preserve">Sangrado </w:t>
      </w:r>
      <w:r w:rsidR="00161903">
        <w:rPr>
          <w:b/>
        </w:rPr>
        <w:t xml:space="preserve">de </w:t>
      </w:r>
      <w:r w:rsidRPr="00161903">
        <w:rPr>
          <w:b/>
        </w:rPr>
        <w:t>T</w:t>
      </w:r>
      <w:r w:rsidR="00161903">
        <w:rPr>
          <w:b/>
        </w:rPr>
        <w:t xml:space="preserve">ubo </w:t>
      </w:r>
      <w:r w:rsidRPr="00161903">
        <w:rPr>
          <w:b/>
        </w:rPr>
        <w:t>D</w:t>
      </w:r>
      <w:r w:rsidR="00161903">
        <w:rPr>
          <w:b/>
        </w:rPr>
        <w:t xml:space="preserve">igestivo </w:t>
      </w:r>
      <w:r w:rsidRPr="00161903">
        <w:rPr>
          <w:b/>
        </w:rPr>
        <w:t>S</w:t>
      </w:r>
      <w:r w:rsidR="00161903">
        <w:rPr>
          <w:b/>
        </w:rPr>
        <w:t>uperior</w:t>
      </w:r>
      <w:r w:rsidRPr="00161903">
        <w:rPr>
          <w:b/>
        </w:rPr>
        <w:t>.</w:t>
      </w:r>
    </w:p>
    <w:p w:rsidR="009F15B9" w:rsidRPr="009F15B9" w:rsidRDefault="009026F4" w:rsidP="009026F4">
      <w:pPr>
        <w:shd w:val="clear" w:color="auto" w:fill="FFFFFF"/>
        <w:spacing w:before="135" w:after="135" w:line="270" w:lineRule="atLeast"/>
        <w:ind w:left="0"/>
        <w:rPr>
          <w:color w:val="0D0D0D" w:themeColor="text1" w:themeTint="F2"/>
        </w:rPr>
      </w:pPr>
      <w:r>
        <w:rPr>
          <w:color w:val="0D0D0D" w:themeColor="text1" w:themeTint="F2"/>
        </w:rPr>
        <w:t xml:space="preserve">El sangrado de tubo digestivo superior o </w:t>
      </w:r>
      <w:r w:rsidR="009F15B9" w:rsidRPr="009F15B9">
        <w:rPr>
          <w:color w:val="0D0D0D" w:themeColor="text1" w:themeTint="F2"/>
        </w:rPr>
        <w:t xml:space="preserve">hemorragia digestiva alta (HDA) sigue siendo una de las complicaciones más graves del </w:t>
      </w:r>
      <w:r w:rsidR="009F15B9" w:rsidRPr="009026F4">
        <w:rPr>
          <w:color w:val="0D0D0D" w:themeColor="text1" w:themeTint="F2"/>
        </w:rPr>
        <w:t>aparato digestivo</w:t>
      </w:r>
      <w:r w:rsidR="009F15B9" w:rsidRPr="009F15B9">
        <w:rPr>
          <w:color w:val="0D0D0D" w:themeColor="text1" w:themeTint="F2"/>
        </w:rPr>
        <w:t xml:space="preserve"> y un frecuente motivo de hospitalización. Las dos causas más habituales son la </w:t>
      </w:r>
      <w:r w:rsidR="009F15B9" w:rsidRPr="009026F4">
        <w:rPr>
          <w:color w:val="0D0D0D" w:themeColor="text1" w:themeTint="F2"/>
        </w:rPr>
        <w:t>hemorragia digestiva</w:t>
      </w:r>
      <w:r w:rsidR="009F15B9" w:rsidRPr="009F15B9">
        <w:rPr>
          <w:color w:val="0D0D0D" w:themeColor="text1" w:themeTint="F2"/>
        </w:rPr>
        <w:t xml:space="preserve"> (HD) por úlcera péptica y la secundaria a </w:t>
      </w:r>
      <w:r w:rsidR="009F15B9" w:rsidRPr="009026F4">
        <w:rPr>
          <w:color w:val="0D0D0D" w:themeColor="text1" w:themeTint="F2"/>
        </w:rPr>
        <w:t>hipertensión</w:t>
      </w:r>
      <w:r w:rsidR="009F15B9" w:rsidRPr="009F15B9">
        <w:rPr>
          <w:color w:val="0D0D0D" w:themeColor="text1" w:themeTint="F2"/>
        </w:rPr>
        <w:t xml:space="preserve"> portal. La hemorragia digestiva baja es menos frecuente que la de origen alto, y tiene tendencia a </w:t>
      </w:r>
      <w:r w:rsidR="004E3C3B" w:rsidRPr="009F15B9">
        <w:rPr>
          <w:color w:val="0D0D0D" w:themeColor="text1" w:themeTint="F2"/>
        </w:rPr>
        <w:t>auto limitarse</w:t>
      </w:r>
      <w:r w:rsidR="009F15B9" w:rsidRPr="009F15B9">
        <w:rPr>
          <w:color w:val="0D0D0D" w:themeColor="text1" w:themeTint="F2"/>
        </w:rPr>
        <w:t>.</w:t>
      </w:r>
    </w:p>
    <w:p w:rsidR="009F15B9" w:rsidRPr="009F15B9" w:rsidRDefault="009F15B9" w:rsidP="009026F4">
      <w:pPr>
        <w:shd w:val="clear" w:color="auto" w:fill="FFFFFF"/>
        <w:spacing w:before="135" w:after="135" w:line="270" w:lineRule="atLeast"/>
        <w:ind w:left="0"/>
        <w:rPr>
          <w:color w:val="0D0D0D" w:themeColor="text1" w:themeTint="F2"/>
        </w:rPr>
      </w:pPr>
      <w:r w:rsidRPr="009F15B9">
        <w:rPr>
          <w:color w:val="0D0D0D" w:themeColor="text1" w:themeTint="F2"/>
        </w:rPr>
        <w:t>La incidencia de la HDA es aproximadamente de 50-150 pacientes por 100.000 habitantes/año que precis</w:t>
      </w:r>
      <w:r w:rsidR="009026F4">
        <w:rPr>
          <w:color w:val="0D0D0D" w:themeColor="text1" w:themeTint="F2"/>
        </w:rPr>
        <w:t>an ser hospitalizados</w:t>
      </w:r>
      <w:r w:rsidR="004E3C3B">
        <w:rPr>
          <w:color w:val="0D0D0D" w:themeColor="text1" w:themeTint="F2"/>
        </w:rPr>
        <w:t>.</w:t>
      </w:r>
    </w:p>
    <w:p w:rsidR="009F15B9" w:rsidRPr="009F15B9" w:rsidRDefault="009F15B9" w:rsidP="009026F4">
      <w:pPr>
        <w:shd w:val="clear" w:color="auto" w:fill="FFFFFF"/>
        <w:spacing w:before="135" w:after="135" w:line="270" w:lineRule="atLeast"/>
        <w:ind w:left="0"/>
        <w:rPr>
          <w:color w:val="0D0D0D" w:themeColor="text1" w:themeTint="F2"/>
        </w:rPr>
      </w:pPr>
      <w:r w:rsidRPr="009F15B9">
        <w:rPr>
          <w:color w:val="0D0D0D" w:themeColor="text1" w:themeTint="F2"/>
        </w:rPr>
        <w:t>Los recientes avances en el tratamiento endoscópico de la HD, así como el tratamiento err</w:t>
      </w:r>
      <w:r w:rsidR="009026F4">
        <w:rPr>
          <w:color w:val="0D0D0D" w:themeColor="text1" w:themeTint="F2"/>
        </w:rPr>
        <w:t>adicador de Helicobacter pylori</w:t>
      </w:r>
      <w:r w:rsidRPr="009F15B9">
        <w:rPr>
          <w:color w:val="0D0D0D" w:themeColor="text1" w:themeTint="F2"/>
        </w:rPr>
        <w:t xml:space="preserve">, han mejorado notablemente el pronóstico de estos pacientes y, en consecuencia, la </w:t>
      </w:r>
      <w:r w:rsidRPr="009026F4">
        <w:rPr>
          <w:color w:val="0D0D0D" w:themeColor="text1" w:themeTint="F2"/>
        </w:rPr>
        <w:t>evolución</w:t>
      </w:r>
      <w:r w:rsidRPr="009F15B9">
        <w:rPr>
          <w:color w:val="0D0D0D" w:themeColor="text1" w:themeTint="F2"/>
        </w:rPr>
        <w:t xml:space="preserve"> clínica; pero ha sido contrarrestado por el envejecimiento de la </w:t>
      </w:r>
      <w:r w:rsidRPr="009026F4">
        <w:rPr>
          <w:color w:val="0D0D0D" w:themeColor="text1" w:themeTint="F2"/>
        </w:rPr>
        <w:t>población</w:t>
      </w:r>
      <w:r w:rsidRPr="009F15B9">
        <w:rPr>
          <w:color w:val="0D0D0D" w:themeColor="text1" w:themeTint="F2"/>
        </w:rPr>
        <w:t xml:space="preserve"> y el elevado número de personas que ingieren en la actualidad antiinflamatorios no esteroides (AINE), incluyendo el ácido acetilsalicílico.</w:t>
      </w:r>
    </w:p>
    <w:p w:rsidR="009F15B9" w:rsidRPr="009F15B9" w:rsidRDefault="009F15B9" w:rsidP="009026F4">
      <w:pPr>
        <w:shd w:val="clear" w:color="auto" w:fill="FFFFFF"/>
        <w:spacing w:before="135" w:after="135" w:line="270" w:lineRule="atLeast"/>
        <w:ind w:left="0"/>
        <w:rPr>
          <w:color w:val="0D0D0D" w:themeColor="text1" w:themeTint="F2"/>
        </w:rPr>
      </w:pPr>
      <w:r w:rsidRPr="009F15B9">
        <w:rPr>
          <w:color w:val="0D0D0D" w:themeColor="text1" w:themeTint="F2"/>
        </w:rPr>
        <w:t>Como consecuencia, la mortalidad hospitalaria por HDA aguda ha permanecido sin cambios durante la última década, oscilando entre el 4 y el 10 % en la HDA de origen no varicoso, a diferencia de la secundaria a hipertensión portal cuya mortalidad es entre el 18 y el 30 % al alta hospitalaria.</w:t>
      </w:r>
    </w:p>
    <w:p w:rsidR="009F15B9" w:rsidRPr="009F15B9" w:rsidRDefault="009F15B9" w:rsidP="009026F4">
      <w:pPr>
        <w:shd w:val="clear" w:color="auto" w:fill="FFFFFF"/>
        <w:spacing w:before="135" w:after="135" w:line="270" w:lineRule="atLeast"/>
        <w:ind w:left="0"/>
        <w:rPr>
          <w:color w:val="0D0D0D" w:themeColor="text1" w:themeTint="F2"/>
        </w:rPr>
      </w:pPr>
      <w:r w:rsidRPr="009F15B9">
        <w:rPr>
          <w:color w:val="0D0D0D" w:themeColor="text1" w:themeTint="F2"/>
        </w:rPr>
        <w:t xml:space="preserve">Hoy día, dado el coste económico de la hospitalización, y con el fin de reducir la estancia hospitalaria, se han identificado una serie de factores clínicos y endoscópicos que permiten conocer qué pacientes son de </w:t>
      </w:r>
      <w:r w:rsidRPr="009026F4">
        <w:rPr>
          <w:color w:val="0D0D0D" w:themeColor="text1" w:themeTint="F2"/>
        </w:rPr>
        <w:t>riesgo</w:t>
      </w:r>
      <w:r w:rsidRPr="009F15B9">
        <w:rPr>
          <w:color w:val="0D0D0D" w:themeColor="text1" w:themeTint="F2"/>
        </w:rPr>
        <w:t xml:space="preserve"> elevado de recidiva y/o persistencia de la hemorragia y cuáles precisan ser ingresados en unidades de cuidados críticos; así como identificar aquellos que son de bajo riesgo, que pudieran ser dados de alta desde el propio </w:t>
      </w:r>
      <w:r w:rsidRPr="009026F4">
        <w:rPr>
          <w:color w:val="0D0D0D" w:themeColor="text1" w:themeTint="F2"/>
        </w:rPr>
        <w:t>servicio</w:t>
      </w:r>
      <w:r w:rsidRPr="009F15B9">
        <w:rPr>
          <w:color w:val="0D0D0D" w:themeColor="text1" w:themeTint="F2"/>
        </w:rPr>
        <w:t xml:space="preserve"> de urgencias hospitalario o ser ingresados en una unidad de hospitalización durante aproximadamente 48-72 h.</w:t>
      </w:r>
    </w:p>
    <w:p w:rsidR="009F15B9" w:rsidRPr="009F15B9" w:rsidRDefault="009F15B9" w:rsidP="009026F4">
      <w:pPr>
        <w:shd w:val="clear" w:color="auto" w:fill="FFFFFF"/>
        <w:spacing w:before="135" w:after="135" w:line="270" w:lineRule="atLeast"/>
        <w:ind w:left="0"/>
        <w:rPr>
          <w:color w:val="0D0D0D" w:themeColor="text1" w:themeTint="F2"/>
        </w:rPr>
      </w:pPr>
      <w:r w:rsidRPr="009F15B9">
        <w:rPr>
          <w:color w:val="0D0D0D" w:themeColor="text1" w:themeTint="F2"/>
        </w:rPr>
        <w:t xml:space="preserve">Una </w:t>
      </w:r>
      <w:r w:rsidRPr="009026F4">
        <w:rPr>
          <w:color w:val="0D0D0D" w:themeColor="text1" w:themeTint="F2"/>
        </w:rPr>
        <w:t>historia</w:t>
      </w:r>
      <w:r w:rsidRPr="009F15B9">
        <w:rPr>
          <w:color w:val="0D0D0D" w:themeColor="text1" w:themeTint="F2"/>
        </w:rPr>
        <w:t xml:space="preserve"> clínica y exploración </w:t>
      </w:r>
      <w:r w:rsidRPr="009026F4">
        <w:rPr>
          <w:color w:val="0D0D0D" w:themeColor="text1" w:themeTint="F2"/>
        </w:rPr>
        <w:t>física</w:t>
      </w:r>
      <w:r w:rsidRPr="009F15B9">
        <w:rPr>
          <w:color w:val="0D0D0D" w:themeColor="text1" w:themeTint="F2"/>
        </w:rPr>
        <w:t xml:space="preserve"> adecuadas son imprescindibles, debiéndose determinar al ingreso la </w:t>
      </w:r>
      <w:r w:rsidRPr="009026F4">
        <w:rPr>
          <w:color w:val="0D0D0D" w:themeColor="text1" w:themeTint="F2"/>
        </w:rPr>
        <w:t>presión</w:t>
      </w:r>
      <w:r w:rsidRPr="009F15B9">
        <w:rPr>
          <w:color w:val="0D0D0D" w:themeColor="text1" w:themeTint="F2"/>
        </w:rPr>
        <w:t xml:space="preserve"> arterial y la frecuencia cardíaca. En casos de hipovolemia importante puede producirse un cuadro de shock. La realización de un lavado gástrico permitirá determinar la presencia de hemorragia activa y facilitar la limpieza del estómago, como paso previo a la realización de la endoscopia diagnóstica y terapéutica.</w:t>
      </w:r>
    </w:p>
    <w:p w:rsidR="009F15B9" w:rsidRPr="009F15B9" w:rsidRDefault="009F15B9" w:rsidP="009026F4">
      <w:pPr>
        <w:shd w:val="clear" w:color="auto" w:fill="FFFFFF"/>
        <w:spacing w:before="135" w:after="135" w:line="270" w:lineRule="atLeast"/>
        <w:ind w:left="0"/>
        <w:rPr>
          <w:color w:val="0D0D0D" w:themeColor="text1" w:themeTint="F2"/>
        </w:rPr>
      </w:pPr>
      <w:r w:rsidRPr="009F15B9">
        <w:rPr>
          <w:color w:val="0D0D0D" w:themeColor="text1" w:themeTint="F2"/>
        </w:rPr>
        <w:t>La hemorragia digestiva alta es una emergencia médico quirúrgica que continua teniendo una elevada mortalidad, a pesar de los avances terapéuticos de los últimos años.</w:t>
      </w:r>
    </w:p>
    <w:p w:rsidR="00161903" w:rsidRDefault="009F15B9" w:rsidP="009026F4">
      <w:pPr>
        <w:shd w:val="clear" w:color="auto" w:fill="FFFFFF"/>
        <w:spacing w:before="135" w:after="135" w:line="270" w:lineRule="atLeast"/>
        <w:ind w:left="0"/>
        <w:rPr>
          <w:color w:val="0D0D0D" w:themeColor="text1" w:themeTint="F2"/>
        </w:rPr>
      </w:pPr>
      <w:r w:rsidRPr="009F15B9">
        <w:rPr>
          <w:color w:val="0D0D0D" w:themeColor="text1" w:themeTint="F2"/>
        </w:rPr>
        <w:lastRenderedPageBreak/>
        <w:t xml:space="preserve">Su incidencia </w:t>
      </w:r>
      <w:r w:rsidR="004E3C3B" w:rsidRPr="009F15B9">
        <w:rPr>
          <w:color w:val="0D0D0D" w:themeColor="text1" w:themeTint="F2"/>
        </w:rPr>
        <w:t>varía</w:t>
      </w:r>
      <w:r w:rsidRPr="009F15B9">
        <w:rPr>
          <w:color w:val="0D0D0D" w:themeColor="text1" w:themeTint="F2"/>
        </w:rPr>
        <w:t xml:space="preserve"> en los distintos países. Sin embargo, se estima que se presenta con una frecuencia entre 50 y 140 casos por cada cien mil habitantes. El aumento de la esperanza de vida de la población ha significado que en la actualidad esta situación se presente más frecuentemente en pacientes de edad avanzada, y en consecuencia con mayor número de patologías asociadas lo que ha estimulado a los distintos grupos de trabajo</w:t>
      </w:r>
      <w:r w:rsidR="009026F4">
        <w:rPr>
          <w:color w:val="0D0D0D" w:themeColor="text1" w:themeTint="F2"/>
        </w:rPr>
        <w:t>a</w:t>
      </w:r>
      <w:r w:rsidRPr="009F15B9">
        <w:rPr>
          <w:color w:val="0D0D0D" w:themeColor="text1" w:themeTint="F2"/>
        </w:rPr>
        <w:t xml:space="preserve"> buscar nuevas alternativas terapéuticas para mejorar los resultados en el tratamiento de esta afección. </w:t>
      </w:r>
    </w:p>
    <w:p w:rsidR="00536273" w:rsidRPr="00161903" w:rsidRDefault="008E7873" w:rsidP="002410CE">
      <w:pPr>
        <w:ind w:left="0"/>
        <w:rPr>
          <w:b/>
        </w:rPr>
      </w:pPr>
      <w:r>
        <w:rPr>
          <w:b/>
        </w:rPr>
        <w:t xml:space="preserve">4.2 </w:t>
      </w:r>
      <w:r w:rsidR="00161903">
        <w:rPr>
          <w:b/>
        </w:rPr>
        <w:t>E</w:t>
      </w:r>
      <w:r w:rsidR="00077E8C">
        <w:rPr>
          <w:b/>
        </w:rPr>
        <w:t>N</w:t>
      </w:r>
      <w:r w:rsidR="00161903">
        <w:rPr>
          <w:b/>
        </w:rPr>
        <w:t>DOSCOPIA</w:t>
      </w:r>
    </w:p>
    <w:p w:rsidR="008E7873" w:rsidRDefault="008E7873" w:rsidP="001337E6">
      <w:pPr>
        <w:autoSpaceDE w:val="0"/>
        <w:autoSpaceDN w:val="0"/>
        <w:adjustRightInd w:val="0"/>
        <w:ind w:left="0"/>
      </w:pPr>
    </w:p>
    <w:p w:rsidR="001337E6" w:rsidRPr="001337E6" w:rsidRDefault="001337E6" w:rsidP="001337E6">
      <w:pPr>
        <w:autoSpaceDE w:val="0"/>
        <w:autoSpaceDN w:val="0"/>
        <w:adjustRightInd w:val="0"/>
        <w:ind w:left="0"/>
      </w:pPr>
      <w:r w:rsidRPr="001337E6">
        <w:t>Se entiende por endoscopia digestiva alta (EDA) la</w:t>
      </w:r>
      <w:r w:rsidR="00014556">
        <w:t xml:space="preserve"> </w:t>
      </w:r>
      <w:r w:rsidRPr="001337E6">
        <w:t>exploración que permite la visualización de la superficie</w:t>
      </w:r>
      <w:r w:rsidR="00014556">
        <w:t xml:space="preserve"> </w:t>
      </w:r>
      <w:r w:rsidRPr="001337E6">
        <w:t>mucosa del esófago, estómago y primeras porciones del</w:t>
      </w:r>
      <w:r w:rsidR="00014556">
        <w:t xml:space="preserve"> </w:t>
      </w:r>
      <w:r w:rsidRPr="001337E6">
        <w:t xml:space="preserve">duodeno. Por ello se conoce también </w:t>
      </w:r>
      <w:r w:rsidR="00014556">
        <w:t>c</w:t>
      </w:r>
      <w:r w:rsidRPr="001337E6">
        <w:t>omo</w:t>
      </w:r>
      <w:r w:rsidR="00014556">
        <w:t xml:space="preserve"> </w:t>
      </w:r>
      <w:proofErr w:type="spellStart"/>
      <w:r w:rsidRPr="001337E6">
        <w:t>esofagogastroduodenoscopia</w:t>
      </w:r>
      <w:proofErr w:type="spellEnd"/>
      <w:r w:rsidRPr="001337E6">
        <w:t xml:space="preserve">, </w:t>
      </w:r>
      <w:r w:rsidR="004E3C3B" w:rsidRPr="001337E6">
        <w:t>pan endoscopia</w:t>
      </w:r>
      <w:r w:rsidRPr="001337E6">
        <w:t xml:space="preserve"> oral o más</w:t>
      </w:r>
      <w:r w:rsidR="00014556">
        <w:t xml:space="preserve"> </w:t>
      </w:r>
      <w:r w:rsidRPr="001337E6">
        <w:t>popularmente, gastroscopia.</w:t>
      </w:r>
    </w:p>
    <w:p w:rsidR="001337E6" w:rsidRDefault="001337E6" w:rsidP="001337E6">
      <w:pPr>
        <w:autoSpaceDE w:val="0"/>
        <w:autoSpaceDN w:val="0"/>
        <w:adjustRightInd w:val="0"/>
        <w:ind w:left="0"/>
      </w:pPr>
      <w:r w:rsidRPr="001337E6">
        <w:t>En su función diagnóstica incluye la inspección, toma de</w:t>
      </w:r>
      <w:r w:rsidR="00014556">
        <w:t xml:space="preserve"> </w:t>
      </w:r>
      <w:r w:rsidRPr="001337E6">
        <w:t>biopsias y de imágenes. Describe lesiones focales benignas</w:t>
      </w:r>
      <w:r w:rsidR="00014556">
        <w:t xml:space="preserve"> </w:t>
      </w:r>
      <w:r w:rsidRPr="001337E6">
        <w:t>y malignas, cambios difusos de la mucosa, de la motilidad,</w:t>
      </w:r>
      <w:r w:rsidR="00014556">
        <w:t xml:space="preserve"> </w:t>
      </w:r>
      <w:r w:rsidRPr="001337E6">
        <w:t>del calibre de la luz (estenosis u obstrucción) y la</w:t>
      </w:r>
      <w:r w:rsidR="00014556">
        <w:t xml:space="preserve"> </w:t>
      </w:r>
      <w:r w:rsidRPr="001337E6">
        <w:t>presencia de cuerpos extraños y de compresiones</w:t>
      </w:r>
      <w:r w:rsidR="00014556">
        <w:t xml:space="preserve"> </w:t>
      </w:r>
      <w:r w:rsidRPr="001337E6">
        <w:t>extrínsecas. Entre los procedimientos terapéuticos más</w:t>
      </w:r>
      <w:r w:rsidR="00180A2D">
        <w:t xml:space="preserve"> </w:t>
      </w:r>
      <w:r w:rsidRPr="001337E6">
        <w:t xml:space="preserve">comunes cabe destacar la </w:t>
      </w:r>
      <w:proofErr w:type="spellStart"/>
      <w:r w:rsidRPr="001337E6">
        <w:t>polipectomía</w:t>
      </w:r>
      <w:proofErr w:type="spellEnd"/>
      <w:r w:rsidRPr="001337E6">
        <w:t>, dilatación de</w:t>
      </w:r>
      <w:r w:rsidR="00180A2D">
        <w:t xml:space="preserve"> </w:t>
      </w:r>
      <w:r w:rsidRPr="001337E6">
        <w:t>estenosis, extracción de cuerpos extraños, colocación</w:t>
      </w:r>
      <w:r w:rsidR="00180A2D">
        <w:t xml:space="preserve"> </w:t>
      </w:r>
      <w:r w:rsidRPr="001337E6">
        <w:t>de prótesis a través de tumores, implantación de sondas de</w:t>
      </w:r>
      <w:r w:rsidR="00180A2D">
        <w:t xml:space="preserve"> </w:t>
      </w:r>
      <w:r w:rsidRPr="001337E6">
        <w:t>nutrición y el tratamiento hemostático de lesiones</w:t>
      </w:r>
      <w:r w:rsidR="00180A2D">
        <w:t xml:space="preserve"> </w:t>
      </w:r>
      <w:r w:rsidRPr="001337E6">
        <w:t>sangrantes mediante esclerosis, colocación de bandas o</w:t>
      </w:r>
      <w:r w:rsidR="00180A2D">
        <w:t xml:space="preserve"> </w:t>
      </w:r>
      <w:r w:rsidRPr="001337E6">
        <w:t>coagulación.</w:t>
      </w:r>
    </w:p>
    <w:p w:rsidR="009026F4" w:rsidRDefault="009026F4" w:rsidP="001337E6">
      <w:pPr>
        <w:autoSpaceDE w:val="0"/>
        <w:autoSpaceDN w:val="0"/>
        <w:adjustRightInd w:val="0"/>
        <w:ind w:left="0"/>
        <w:rPr>
          <w:b/>
        </w:rPr>
      </w:pPr>
    </w:p>
    <w:p w:rsidR="001337E6" w:rsidRDefault="001337E6" w:rsidP="001337E6">
      <w:pPr>
        <w:autoSpaceDE w:val="0"/>
        <w:autoSpaceDN w:val="0"/>
        <w:adjustRightInd w:val="0"/>
        <w:ind w:left="0"/>
        <w:rPr>
          <w:b/>
        </w:rPr>
      </w:pPr>
      <w:r w:rsidRPr="001337E6">
        <w:rPr>
          <w:b/>
        </w:rPr>
        <w:t>Indicaciones genéricasde la endoscopia digestiva alta</w:t>
      </w:r>
    </w:p>
    <w:p w:rsidR="001337E6" w:rsidRPr="001337E6" w:rsidRDefault="001337E6" w:rsidP="001337E6">
      <w:pPr>
        <w:autoSpaceDE w:val="0"/>
        <w:autoSpaceDN w:val="0"/>
        <w:adjustRightInd w:val="0"/>
        <w:ind w:left="0"/>
        <w:rPr>
          <w:b/>
        </w:rPr>
      </w:pPr>
    </w:p>
    <w:p w:rsidR="001337E6" w:rsidRDefault="001337E6" w:rsidP="001337E6">
      <w:pPr>
        <w:pStyle w:val="ListParagraph"/>
        <w:numPr>
          <w:ilvl w:val="0"/>
          <w:numId w:val="36"/>
        </w:numPr>
        <w:autoSpaceDE w:val="0"/>
        <w:autoSpaceDN w:val="0"/>
        <w:adjustRightInd w:val="0"/>
      </w:pPr>
      <w:r w:rsidRPr="001337E6">
        <w:t>Cuando el resultado de la EDA vaya a suponer un cambio</w:t>
      </w:r>
      <w:r w:rsidR="00996894">
        <w:t xml:space="preserve"> </w:t>
      </w:r>
      <w:r w:rsidRPr="001337E6">
        <w:t>en el manejo del paciente.</w:t>
      </w:r>
    </w:p>
    <w:p w:rsidR="001337E6" w:rsidRPr="001337E6" w:rsidRDefault="001337E6" w:rsidP="001337E6">
      <w:pPr>
        <w:pStyle w:val="ListParagraph"/>
        <w:autoSpaceDE w:val="0"/>
        <w:autoSpaceDN w:val="0"/>
        <w:adjustRightInd w:val="0"/>
        <w:ind w:left="720"/>
      </w:pPr>
    </w:p>
    <w:p w:rsidR="001337E6" w:rsidRDefault="001337E6" w:rsidP="001337E6">
      <w:pPr>
        <w:pStyle w:val="ListParagraph"/>
        <w:numPr>
          <w:ilvl w:val="0"/>
          <w:numId w:val="36"/>
        </w:numPr>
        <w:autoSpaceDE w:val="0"/>
        <w:autoSpaceDN w:val="0"/>
        <w:adjustRightInd w:val="0"/>
      </w:pPr>
      <w:r w:rsidRPr="001337E6">
        <w:t>Cuando fracasa un tratamiento empírico para una patología</w:t>
      </w:r>
      <w:r w:rsidR="00996894">
        <w:t xml:space="preserve"> </w:t>
      </w:r>
      <w:r w:rsidRPr="001337E6">
        <w:t>supuestamente benigna.</w:t>
      </w:r>
    </w:p>
    <w:p w:rsidR="001337E6" w:rsidRDefault="001337E6" w:rsidP="001337E6">
      <w:pPr>
        <w:pStyle w:val="ListParagraph"/>
      </w:pPr>
    </w:p>
    <w:p w:rsidR="001337E6" w:rsidRDefault="001337E6" w:rsidP="001337E6">
      <w:pPr>
        <w:pStyle w:val="ListParagraph"/>
        <w:numPr>
          <w:ilvl w:val="0"/>
          <w:numId w:val="36"/>
        </w:numPr>
        <w:autoSpaceDE w:val="0"/>
        <w:autoSpaceDN w:val="0"/>
        <w:adjustRightInd w:val="0"/>
      </w:pPr>
      <w:r w:rsidRPr="001337E6">
        <w:t>Cuando se prevea un procedimiento terapéutico.</w:t>
      </w:r>
    </w:p>
    <w:p w:rsidR="001337E6" w:rsidRDefault="001337E6" w:rsidP="001337E6">
      <w:pPr>
        <w:pStyle w:val="ListParagraph"/>
      </w:pPr>
    </w:p>
    <w:p w:rsidR="001337E6" w:rsidRDefault="001337E6" w:rsidP="001337E6">
      <w:pPr>
        <w:autoSpaceDE w:val="0"/>
        <w:autoSpaceDN w:val="0"/>
        <w:adjustRightInd w:val="0"/>
        <w:ind w:left="0"/>
        <w:rPr>
          <w:b/>
        </w:rPr>
      </w:pPr>
      <w:r w:rsidRPr="001337E6">
        <w:rPr>
          <w:b/>
        </w:rPr>
        <w:t>Indicaciones específicas</w:t>
      </w:r>
    </w:p>
    <w:p w:rsidR="001337E6" w:rsidRPr="001337E6" w:rsidRDefault="001337E6" w:rsidP="001337E6">
      <w:pPr>
        <w:autoSpaceDE w:val="0"/>
        <w:autoSpaceDN w:val="0"/>
        <w:adjustRightInd w:val="0"/>
        <w:ind w:left="0"/>
        <w:rPr>
          <w:b/>
        </w:rPr>
      </w:pPr>
    </w:p>
    <w:p w:rsidR="001337E6" w:rsidRDefault="001337E6" w:rsidP="001337E6">
      <w:pPr>
        <w:autoSpaceDE w:val="0"/>
        <w:autoSpaceDN w:val="0"/>
        <w:adjustRightInd w:val="0"/>
        <w:ind w:left="0"/>
      </w:pPr>
      <w:r w:rsidRPr="001337E6">
        <w:t>A continuación se exponen las indicaciones de la EDA en</w:t>
      </w:r>
      <w:r w:rsidR="00996894">
        <w:t xml:space="preserve"> </w:t>
      </w:r>
      <w:r w:rsidRPr="001337E6">
        <w:t>función de las diferente</w:t>
      </w:r>
      <w:r>
        <w:t>s situaciones clínicas</w:t>
      </w:r>
      <w:r w:rsidRPr="001337E6">
        <w:t>. Para</w:t>
      </w:r>
      <w:r w:rsidR="00996894">
        <w:t xml:space="preserve"> </w:t>
      </w:r>
      <w:r w:rsidRPr="001337E6">
        <w:t xml:space="preserve">ello se han seguido las pautas marcadas por la </w:t>
      </w:r>
      <w:r w:rsidRPr="001337E6">
        <w:rPr>
          <w:i/>
          <w:iCs/>
        </w:rPr>
        <w:t xml:space="preserve">American </w:t>
      </w:r>
      <w:proofErr w:type="spellStart"/>
      <w:r w:rsidRPr="001337E6">
        <w:rPr>
          <w:i/>
          <w:iCs/>
        </w:rPr>
        <w:t>Society</w:t>
      </w:r>
      <w:proofErr w:type="spellEnd"/>
      <w:r w:rsidR="00996894">
        <w:rPr>
          <w:i/>
          <w:iCs/>
        </w:rPr>
        <w:t xml:space="preserve"> </w:t>
      </w:r>
      <w:proofErr w:type="spellStart"/>
      <w:r w:rsidRPr="001337E6">
        <w:rPr>
          <w:i/>
          <w:iCs/>
        </w:rPr>
        <w:t>for</w:t>
      </w:r>
      <w:proofErr w:type="spellEnd"/>
      <w:r w:rsidRPr="001337E6">
        <w:rPr>
          <w:i/>
          <w:iCs/>
        </w:rPr>
        <w:t xml:space="preserve"> Gastrointestinal </w:t>
      </w:r>
      <w:proofErr w:type="spellStart"/>
      <w:r w:rsidRPr="001337E6">
        <w:rPr>
          <w:i/>
          <w:iCs/>
        </w:rPr>
        <w:t>Endoscopy</w:t>
      </w:r>
      <w:proofErr w:type="spellEnd"/>
      <w:r w:rsidR="00996894">
        <w:rPr>
          <w:i/>
          <w:iCs/>
        </w:rPr>
        <w:t xml:space="preserve"> </w:t>
      </w:r>
      <w:r w:rsidRPr="001337E6">
        <w:t xml:space="preserve">(ASGE) </w:t>
      </w:r>
      <w:r w:rsidRPr="009026F4">
        <w:rPr>
          <w:vertAlign w:val="superscript"/>
        </w:rPr>
        <w:t>1,2.</w:t>
      </w:r>
    </w:p>
    <w:p w:rsidR="001337E6" w:rsidRPr="001337E6" w:rsidRDefault="001337E6" w:rsidP="001337E6">
      <w:pPr>
        <w:autoSpaceDE w:val="0"/>
        <w:autoSpaceDN w:val="0"/>
        <w:adjustRightInd w:val="0"/>
        <w:ind w:left="0"/>
      </w:pPr>
    </w:p>
    <w:p w:rsidR="001337E6" w:rsidRPr="001337E6" w:rsidRDefault="001337E6" w:rsidP="001337E6">
      <w:pPr>
        <w:autoSpaceDE w:val="0"/>
        <w:autoSpaceDN w:val="0"/>
        <w:adjustRightInd w:val="0"/>
        <w:ind w:left="0"/>
      </w:pPr>
      <w:r w:rsidRPr="001337E6">
        <w:rPr>
          <w:i/>
          <w:iCs/>
        </w:rPr>
        <w:t xml:space="preserve">1. </w:t>
      </w:r>
      <w:r w:rsidRPr="001337E6">
        <w:t>En la dispepsia. Actualmente se entiende por dispepsia</w:t>
      </w:r>
      <w:r w:rsidR="00E07E71">
        <w:t xml:space="preserve"> </w:t>
      </w:r>
      <w:r w:rsidRPr="001337E6">
        <w:t xml:space="preserve">cualquier dolor o molestia localizado en </w:t>
      </w:r>
      <w:proofErr w:type="spellStart"/>
      <w:r w:rsidRPr="001337E6">
        <w:t>hemi</w:t>
      </w:r>
      <w:proofErr w:type="spellEnd"/>
      <w:r w:rsidR="00E07E71">
        <w:t xml:space="preserve"> </w:t>
      </w:r>
      <w:r w:rsidRPr="001337E6">
        <w:t>abdomen superior,</w:t>
      </w:r>
      <w:r w:rsidR="00E07E71">
        <w:t xml:space="preserve"> </w:t>
      </w:r>
      <w:r w:rsidRPr="001337E6">
        <w:t xml:space="preserve">continuo o intermitente, que no </w:t>
      </w:r>
      <w:r w:rsidRPr="001337E6">
        <w:lastRenderedPageBreak/>
        <w:t>guarda necesariamente</w:t>
      </w:r>
      <w:r w:rsidR="00E07E71">
        <w:t xml:space="preserve"> </w:t>
      </w:r>
      <w:r w:rsidRPr="001337E6">
        <w:t>relación con la ingesta. El dolor puede estar asociado a una</w:t>
      </w:r>
      <w:r w:rsidR="00E07E71">
        <w:t xml:space="preserve"> </w:t>
      </w:r>
      <w:r w:rsidRPr="001337E6">
        <w:t>sensación de plenitud, saciedad precoz, distensión, eructos,</w:t>
      </w:r>
      <w:r w:rsidR="00E07E71">
        <w:t xml:space="preserve"> </w:t>
      </w:r>
      <w:r w:rsidRPr="001337E6">
        <w:t>náuseas y/o vómitos. La dispepsia se clasifica en dispepsia no</w:t>
      </w:r>
      <w:r w:rsidR="00E07E71">
        <w:t xml:space="preserve"> </w:t>
      </w:r>
      <w:r w:rsidRPr="001337E6">
        <w:t>investigada, orgánica y funcional. Se recomienda la realizaciónde una EDA en las siguientes situaciones:</w:t>
      </w:r>
    </w:p>
    <w:p w:rsidR="001337E6" w:rsidRPr="001337E6" w:rsidRDefault="001337E6" w:rsidP="001337E6">
      <w:pPr>
        <w:autoSpaceDE w:val="0"/>
        <w:autoSpaceDN w:val="0"/>
        <w:adjustRightInd w:val="0"/>
        <w:ind w:left="0"/>
      </w:pPr>
      <w:r w:rsidRPr="001337E6">
        <w:t>a) Presencia de síntomas de alarma sugestivos de enfermedad</w:t>
      </w:r>
      <w:r w:rsidR="00AC3F75">
        <w:t xml:space="preserve"> </w:t>
      </w:r>
      <w:r w:rsidRPr="001337E6">
        <w:t>orgánica como pérdida de peso significativa no intencionada,</w:t>
      </w:r>
      <w:r w:rsidR="00AC3F75">
        <w:t xml:space="preserve"> </w:t>
      </w:r>
      <w:r w:rsidRPr="001337E6">
        <w:t>vómitos graves y/o recurrentes, sangrado digestivo(hematemesis, melenas, anemia) y/o la presencia de una masa</w:t>
      </w:r>
      <w:r w:rsidR="00AC3F75">
        <w:t xml:space="preserve"> </w:t>
      </w:r>
      <w:r w:rsidRPr="001337E6">
        <w:t>abdominal palpable</w:t>
      </w:r>
      <w:r w:rsidRPr="00077E8C">
        <w:rPr>
          <w:vertAlign w:val="superscript"/>
        </w:rPr>
        <w:t>3</w:t>
      </w:r>
      <w:r w:rsidRPr="001337E6">
        <w:t>. Algunos autores incluyen en este grupo</w:t>
      </w:r>
      <w:r w:rsidR="00AC3F75">
        <w:t xml:space="preserve"> </w:t>
      </w:r>
      <w:r w:rsidRPr="001337E6">
        <w:t xml:space="preserve">a los pacientes con antecedentes de patología </w:t>
      </w:r>
      <w:proofErr w:type="gramStart"/>
      <w:r w:rsidRPr="001337E6">
        <w:t>orgánica(</w:t>
      </w:r>
      <w:proofErr w:type="gramEnd"/>
      <w:r w:rsidRPr="001337E6">
        <w:t>úlcera péptica) y a los que llevan tratamiento con antiinflamatorios</w:t>
      </w:r>
      <w:r w:rsidR="00AC3F75">
        <w:t xml:space="preserve"> </w:t>
      </w:r>
      <w:r w:rsidRPr="001337E6">
        <w:t>no esteroideos</w:t>
      </w:r>
      <w:r w:rsidRPr="00077E8C">
        <w:rPr>
          <w:vertAlign w:val="superscript"/>
        </w:rPr>
        <w:t>4</w:t>
      </w:r>
      <w:r w:rsidRPr="001337E6">
        <w:t>.</w:t>
      </w:r>
    </w:p>
    <w:p w:rsidR="001337E6" w:rsidRPr="001337E6" w:rsidRDefault="001337E6" w:rsidP="001337E6">
      <w:pPr>
        <w:autoSpaceDE w:val="0"/>
        <w:autoSpaceDN w:val="0"/>
        <w:adjustRightInd w:val="0"/>
        <w:ind w:left="0"/>
      </w:pPr>
      <w:r w:rsidRPr="001337E6">
        <w:t>b) Pacientes con dispepsia sin síntomas de alarma pero</w:t>
      </w:r>
      <w:r w:rsidR="007D7E60">
        <w:t xml:space="preserve"> </w:t>
      </w:r>
      <w:r w:rsidRPr="001337E6">
        <w:t>con edad superior a los 45 años. Se asume que por debajo de</w:t>
      </w:r>
      <w:r w:rsidR="005A375F">
        <w:t xml:space="preserve"> </w:t>
      </w:r>
      <w:r w:rsidRPr="001337E6">
        <w:t>esta edad es improbable el diagnóstico de cáncer. Sin embargo,</w:t>
      </w:r>
      <w:r w:rsidR="005A375F">
        <w:t xml:space="preserve"> </w:t>
      </w:r>
      <w:r w:rsidRPr="001337E6">
        <w:t>este corte puede subir hasta los 55 años en nuestro medio</w:t>
      </w:r>
      <w:r w:rsidRPr="009026F4">
        <w:rPr>
          <w:vertAlign w:val="superscript"/>
        </w:rPr>
        <w:t>3</w:t>
      </w:r>
      <w:r w:rsidRPr="001337E6">
        <w:t>.</w:t>
      </w:r>
    </w:p>
    <w:p w:rsidR="001337E6" w:rsidRDefault="001337E6" w:rsidP="001337E6">
      <w:pPr>
        <w:autoSpaceDE w:val="0"/>
        <w:autoSpaceDN w:val="0"/>
        <w:adjustRightInd w:val="0"/>
        <w:ind w:left="0"/>
      </w:pPr>
      <w:r w:rsidRPr="001337E6">
        <w:t>c) Pacientes sin síntomas de alarma y con edad inferior a</w:t>
      </w:r>
      <w:r>
        <w:t xml:space="preserve"> 5</w:t>
      </w:r>
      <w:r w:rsidRPr="001337E6">
        <w:t>5 años en los que persistan los síntomas a pesar de un tratamiento</w:t>
      </w:r>
      <w:r w:rsidR="005A375F">
        <w:t xml:space="preserve"> </w:t>
      </w:r>
      <w:r w:rsidRPr="001337E6">
        <w:t>empírico apropiado.</w:t>
      </w:r>
    </w:p>
    <w:p w:rsidR="001337E6" w:rsidRPr="001337E6" w:rsidRDefault="001337E6" w:rsidP="001337E6">
      <w:pPr>
        <w:autoSpaceDE w:val="0"/>
        <w:autoSpaceDN w:val="0"/>
        <w:adjustRightInd w:val="0"/>
        <w:ind w:left="0"/>
      </w:pPr>
    </w:p>
    <w:p w:rsidR="001337E6" w:rsidRPr="001337E6" w:rsidRDefault="001337E6" w:rsidP="001337E6">
      <w:pPr>
        <w:autoSpaceDE w:val="0"/>
        <w:autoSpaceDN w:val="0"/>
        <w:adjustRightInd w:val="0"/>
        <w:ind w:left="0"/>
      </w:pPr>
      <w:r w:rsidRPr="001337E6">
        <w:rPr>
          <w:i/>
          <w:iCs/>
        </w:rPr>
        <w:t xml:space="preserve">2. </w:t>
      </w:r>
      <w:r w:rsidRPr="001337E6">
        <w:t>En la enfermedad por reflujo gastroesofágico. El diagnóstico</w:t>
      </w:r>
      <w:r w:rsidR="005A375F">
        <w:t xml:space="preserve"> </w:t>
      </w:r>
      <w:r w:rsidRPr="001337E6">
        <w:t xml:space="preserve">de los pacientes con enfermedad por reflujo </w:t>
      </w:r>
      <w:proofErr w:type="gramStart"/>
      <w:r w:rsidRPr="001337E6">
        <w:t>gastroesofágico(</w:t>
      </w:r>
      <w:proofErr w:type="gramEnd"/>
      <w:r w:rsidRPr="001337E6">
        <w:t>ERGE) es clínico en la mayoría de los casos en basea síntomas como la pirosis y regurgitación, pudiendo iniciarse</w:t>
      </w:r>
      <w:r w:rsidR="005A375F">
        <w:t xml:space="preserve"> </w:t>
      </w:r>
      <w:r w:rsidRPr="001337E6">
        <w:t>un tratamiento sin necesidad de pruebas diagnósticas</w:t>
      </w:r>
      <w:r w:rsidRPr="00077E8C">
        <w:rPr>
          <w:vertAlign w:val="superscript"/>
        </w:rPr>
        <w:t>5</w:t>
      </w:r>
      <w:r w:rsidRPr="001337E6">
        <w:t>. En</w:t>
      </w:r>
      <w:r w:rsidR="005A375F">
        <w:t xml:space="preserve"> </w:t>
      </w:r>
      <w:r w:rsidRPr="001337E6">
        <w:t>la mayoría de estos pacientes la endoscopia sería normal. El</w:t>
      </w:r>
      <w:r w:rsidR="005A375F">
        <w:t xml:space="preserve"> </w:t>
      </w:r>
      <w:r w:rsidRPr="001337E6">
        <w:t>objetivo principal de la EDA en este grupo es el diagnóstico</w:t>
      </w:r>
      <w:r w:rsidR="005A375F">
        <w:t xml:space="preserve"> </w:t>
      </w:r>
      <w:r w:rsidRPr="001337E6">
        <w:t xml:space="preserve">de la esofagitis, del esófago de </w:t>
      </w:r>
      <w:proofErr w:type="spellStart"/>
      <w:r w:rsidRPr="001337E6">
        <w:t>Barrett</w:t>
      </w:r>
      <w:proofErr w:type="spellEnd"/>
      <w:r w:rsidRPr="001337E6">
        <w:t xml:space="preserve"> y sus complicaciones.</w:t>
      </w:r>
    </w:p>
    <w:p w:rsidR="001337E6" w:rsidRPr="001337E6" w:rsidRDefault="001337E6" w:rsidP="001337E6">
      <w:pPr>
        <w:autoSpaceDE w:val="0"/>
        <w:autoSpaceDN w:val="0"/>
        <w:adjustRightInd w:val="0"/>
        <w:ind w:left="0"/>
      </w:pPr>
      <w:r w:rsidRPr="001337E6">
        <w:t>La ASGE recomienda la realización de endoscopia en determinadas</w:t>
      </w:r>
      <w:r w:rsidR="005A375F">
        <w:t xml:space="preserve"> </w:t>
      </w:r>
      <w:r w:rsidR="009026F4">
        <w:t>situaciones</w:t>
      </w:r>
    </w:p>
    <w:p w:rsidR="001337E6" w:rsidRDefault="001337E6" w:rsidP="001337E6">
      <w:pPr>
        <w:autoSpaceDE w:val="0"/>
        <w:autoSpaceDN w:val="0"/>
        <w:adjustRightInd w:val="0"/>
        <w:ind w:left="0"/>
      </w:pPr>
      <w:r w:rsidRPr="00057A7D">
        <w:rPr>
          <w:i/>
        </w:rPr>
        <w:t>En la úlcera gástrica</w:t>
      </w:r>
      <w:r w:rsidRPr="001337E6">
        <w:t>. Se requiere endoscopia tanto</w:t>
      </w:r>
      <w:r w:rsidR="005A375F">
        <w:t xml:space="preserve"> </w:t>
      </w:r>
      <w:r w:rsidRPr="001337E6">
        <w:t>para el diagnóstico (excluir cáncer ulcerado) como para el control de la cicatrización.</w:t>
      </w:r>
    </w:p>
    <w:p w:rsidR="00057A7D" w:rsidRPr="001337E6" w:rsidRDefault="00057A7D" w:rsidP="001337E6">
      <w:pPr>
        <w:autoSpaceDE w:val="0"/>
        <w:autoSpaceDN w:val="0"/>
        <w:adjustRightInd w:val="0"/>
        <w:ind w:left="0"/>
      </w:pPr>
    </w:p>
    <w:p w:rsidR="001337E6" w:rsidRPr="001337E6" w:rsidRDefault="001337E6" w:rsidP="001337E6">
      <w:pPr>
        <w:autoSpaceDE w:val="0"/>
        <w:autoSpaceDN w:val="0"/>
        <w:adjustRightInd w:val="0"/>
        <w:ind w:left="0"/>
      </w:pPr>
      <w:r w:rsidRPr="00057A7D">
        <w:rPr>
          <w:i/>
        </w:rPr>
        <w:t>Síndromes hereditarios</w:t>
      </w:r>
      <w:r w:rsidRPr="001337E6">
        <w:t xml:space="preserve"> como la </w:t>
      </w:r>
      <w:proofErr w:type="spellStart"/>
      <w:r w:rsidRPr="001337E6">
        <w:t>poliposis</w:t>
      </w:r>
      <w:proofErr w:type="spellEnd"/>
      <w:r w:rsidRPr="001337E6">
        <w:t xml:space="preserve"> </w:t>
      </w:r>
      <w:proofErr w:type="spellStart"/>
      <w:r w:rsidRPr="001337E6">
        <w:t>adenomatosa</w:t>
      </w:r>
      <w:proofErr w:type="spellEnd"/>
      <w:r w:rsidR="005A375F">
        <w:t xml:space="preserve"> </w:t>
      </w:r>
      <w:r w:rsidRPr="001337E6">
        <w:t>familiar.</w:t>
      </w:r>
    </w:p>
    <w:p w:rsidR="001337E6" w:rsidRPr="001337E6" w:rsidRDefault="001337E6" w:rsidP="001337E6">
      <w:pPr>
        <w:autoSpaceDE w:val="0"/>
        <w:autoSpaceDN w:val="0"/>
        <w:adjustRightInd w:val="0"/>
        <w:ind w:left="0"/>
      </w:pPr>
      <w:r w:rsidRPr="00057A7D">
        <w:rPr>
          <w:i/>
        </w:rPr>
        <w:t>Otras enfermedades</w:t>
      </w:r>
      <w:r w:rsidRPr="001337E6">
        <w:t xml:space="preserve"> en las que la presencia de patología</w:t>
      </w:r>
      <w:r w:rsidR="005A375F">
        <w:t xml:space="preserve"> </w:t>
      </w:r>
      <w:r w:rsidRPr="001337E6">
        <w:t>gastrointestinal alta pueda modificar su manejo: historia</w:t>
      </w:r>
      <w:r w:rsidR="005A375F">
        <w:t xml:space="preserve"> </w:t>
      </w:r>
      <w:r w:rsidRPr="001337E6">
        <w:t>de hemorragia digestiva alta en paciente que requiera un</w:t>
      </w:r>
      <w:r w:rsidR="005A375F">
        <w:t xml:space="preserve"> </w:t>
      </w:r>
      <w:r w:rsidRPr="001337E6">
        <w:t>trasplante, tratamiento anticoagulante o tratamiento crónico</w:t>
      </w:r>
      <w:r w:rsidR="005A375F">
        <w:t xml:space="preserve"> </w:t>
      </w:r>
      <w:r w:rsidRPr="001337E6">
        <w:t>con antiinflamatorios.</w:t>
      </w:r>
    </w:p>
    <w:p w:rsidR="001337E6" w:rsidRPr="001337E6" w:rsidRDefault="001337E6" w:rsidP="001337E6">
      <w:pPr>
        <w:autoSpaceDE w:val="0"/>
        <w:autoSpaceDN w:val="0"/>
        <w:adjustRightInd w:val="0"/>
        <w:ind w:left="0"/>
      </w:pPr>
      <w:r w:rsidRPr="001337E6">
        <w:t>Para la confirmación y biopsia de hallazgos radiológicos(tumores, estenosis o úlceras gástricas y esofágicas).</w:t>
      </w:r>
    </w:p>
    <w:p w:rsidR="001337E6" w:rsidRPr="001337E6" w:rsidRDefault="001337E6" w:rsidP="001337E6">
      <w:pPr>
        <w:autoSpaceDE w:val="0"/>
        <w:autoSpaceDN w:val="0"/>
        <w:adjustRightInd w:val="0"/>
        <w:ind w:left="0"/>
      </w:pPr>
      <w:r w:rsidRPr="001337E6">
        <w:t>Hemorragia digestiva alta:</w:t>
      </w:r>
    </w:p>
    <w:p w:rsidR="001337E6" w:rsidRPr="001337E6" w:rsidRDefault="001337E6" w:rsidP="001337E6">
      <w:pPr>
        <w:autoSpaceDE w:val="0"/>
        <w:autoSpaceDN w:val="0"/>
        <w:adjustRightInd w:val="0"/>
        <w:ind w:left="0"/>
      </w:pPr>
      <w:r w:rsidRPr="001337E6">
        <w:t>a) Con signos de sangrado activo o reciente.</w:t>
      </w:r>
    </w:p>
    <w:p w:rsidR="001337E6" w:rsidRPr="001337E6" w:rsidRDefault="001337E6" w:rsidP="001337E6">
      <w:pPr>
        <w:autoSpaceDE w:val="0"/>
        <w:autoSpaceDN w:val="0"/>
        <w:adjustRightInd w:val="0"/>
        <w:ind w:left="0"/>
      </w:pPr>
      <w:r w:rsidRPr="001337E6">
        <w:t xml:space="preserve">b) En pacientes con anemia crónica </w:t>
      </w:r>
      <w:proofErr w:type="spellStart"/>
      <w:r w:rsidRPr="001337E6">
        <w:t>ferropénica</w:t>
      </w:r>
      <w:proofErr w:type="spellEnd"/>
      <w:r w:rsidRPr="001337E6">
        <w:t xml:space="preserve"> atribuible</w:t>
      </w:r>
      <w:r w:rsidR="005A375F">
        <w:t xml:space="preserve"> </w:t>
      </w:r>
      <w:r w:rsidRPr="001337E6">
        <w:t>a sangrado crónico digestivo en los que la colonoscopia</w:t>
      </w:r>
      <w:r w:rsidR="005A375F">
        <w:t xml:space="preserve"> </w:t>
      </w:r>
      <w:r w:rsidRPr="001337E6">
        <w:t>es normal.</w:t>
      </w:r>
    </w:p>
    <w:p w:rsidR="001337E6" w:rsidRPr="001337E6" w:rsidRDefault="001337E6" w:rsidP="001337E6">
      <w:pPr>
        <w:autoSpaceDE w:val="0"/>
        <w:autoSpaceDN w:val="0"/>
        <w:adjustRightInd w:val="0"/>
        <w:ind w:left="0"/>
      </w:pPr>
      <w:r w:rsidRPr="001337E6">
        <w:t>Tratamiento de lesiones sangrantes como úlceras, tumores,</w:t>
      </w:r>
      <w:r w:rsidR="00AF7EC7">
        <w:t xml:space="preserve"> </w:t>
      </w:r>
      <w:r w:rsidRPr="001337E6">
        <w:t xml:space="preserve">varices o </w:t>
      </w:r>
      <w:proofErr w:type="spellStart"/>
      <w:r w:rsidRPr="001337E6">
        <w:t>angiodisplasias</w:t>
      </w:r>
      <w:proofErr w:type="spellEnd"/>
      <w:r w:rsidRPr="001337E6">
        <w:t>.</w:t>
      </w:r>
    </w:p>
    <w:p w:rsidR="001337E6" w:rsidRPr="001337E6" w:rsidRDefault="001337E6" w:rsidP="001337E6">
      <w:pPr>
        <w:autoSpaceDE w:val="0"/>
        <w:autoSpaceDN w:val="0"/>
        <w:adjustRightInd w:val="0"/>
        <w:ind w:left="0"/>
      </w:pPr>
      <w:r w:rsidRPr="001337E6">
        <w:t>Pacientes con hipertensión portal, para documentar la</w:t>
      </w:r>
      <w:r w:rsidR="00AF7EC7">
        <w:t xml:space="preserve"> </w:t>
      </w:r>
      <w:r w:rsidRPr="001337E6">
        <w:t>presencia de varices esofágicas y gastropatía.</w:t>
      </w:r>
    </w:p>
    <w:p w:rsidR="001337E6" w:rsidRPr="001337E6" w:rsidRDefault="001337E6" w:rsidP="001337E6">
      <w:pPr>
        <w:autoSpaceDE w:val="0"/>
        <w:autoSpaceDN w:val="0"/>
        <w:adjustRightInd w:val="0"/>
        <w:ind w:left="0"/>
      </w:pPr>
      <w:r w:rsidRPr="001337E6">
        <w:lastRenderedPageBreak/>
        <w:t>Para la toma de biopsias cuando se sospeche:</w:t>
      </w:r>
    </w:p>
    <w:p w:rsidR="001337E6" w:rsidRPr="001337E6" w:rsidRDefault="001337E6" w:rsidP="001337E6">
      <w:pPr>
        <w:autoSpaceDE w:val="0"/>
        <w:autoSpaceDN w:val="0"/>
        <w:adjustRightInd w:val="0"/>
        <w:ind w:left="0"/>
      </w:pPr>
      <w:r w:rsidRPr="001337E6">
        <w:t>a) Anemia megaloblástica por déficit de B12 atribuible a</w:t>
      </w:r>
      <w:r w:rsidR="00930892">
        <w:t xml:space="preserve"> </w:t>
      </w:r>
      <w:r w:rsidRPr="001337E6">
        <w:t>atrofia gástrica.</w:t>
      </w:r>
    </w:p>
    <w:p w:rsidR="001337E6" w:rsidRPr="001337E6" w:rsidRDefault="001337E6" w:rsidP="001337E6">
      <w:pPr>
        <w:autoSpaceDE w:val="0"/>
        <w:autoSpaceDN w:val="0"/>
        <w:adjustRightInd w:val="0"/>
        <w:ind w:left="0"/>
      </w:pPr>
      <w:r w:rsidRPr="001337E6">
        <w:t>b) Atrofia de la mucosa duodenal como la enfermedad</w:t>
      </w:r>
      <w:r w:rsidR="00930892">
        <w:t xml:space="preserve"> </w:t>
      </w:r>
      <w:r w:rsidRPr="001337E6">
        <w:t>celiaca.</w:t>
      </w:r>
    </w:p>
    <w:p w:rsidR="001337E6" w:rsidRPr="001337E6" w:rsidRDefault="001337E6" w:rsidP="001337E6">
      <w:pPr>
        <w:autoSpaceDE w:val="0"/>
        <w:autoSpaceDN w:val="0"/>
        <w:adjustRightInd w:val="0"/>
        <w:ind w:left="0"/>
      </w:pPr>
      <w:r w:rsidRPr="001337E6">
        <w:t>c) Otras causas de malabsorción intestinal (enfermedad</w:t>
      </w:r>
      <w:r w:rsidR="00930892">
        <w:t xml:space="preserve"> </w:t>
      </w:r>
      <w:r w:rsidRPr="001337E6">
        <w:t xml:space="preserve">de </w:t>
      </w:r>
      <w:proofErr w:type="spellStart"/>
      <w:r w:rsidRPr="001337E6">
        <w:t>Whipple</w:t>
      </w:r>
      <w:proofErr w:type="spellEnd"/>
      <w:r w:rsidRPr="001337E6">
        <w:t>).</w:t>
      </w:r>
    </w:p>
    <w:p w:rsidR="001337E6" w:rsidRPr="001337E6" w:rsidRDefault="001337E6" w:rsidP="001337E6">
      <w:pPr>
        <w:autoSpaceDE w:val="0"/>
        <w:autoSpaceDN w:val="0"/>
        <w:adjustRightInd w:val="0"/>
        <w:ind w:left="0"/>
      </w:pPr>
      <w:r w:rsidRPr="001337E6">
        <w:t>Para evaluar las lesiones tras la ingesta de cáusticos.</w:t>
      </w:r>
    </w:p>
    <w:p w:rsidR="001337E6" w:rsidRPr="001337E6" w:rsidRDefault="001337E6" w:rsidP="001337E6">
      <w:pPr>
        <w:autoSpaceDE w:val="0"/>
        <w:autoSpaceDN w:val="0"/>
        <w:adjustRightInd w:val="0"/>
        <w:ind w:left="0"/>
      </w:pPr>
      <w:r w:rsidRPr="001337E6">
        <w:t>Extracción de cuerpos extraños.</w:t>
      </w:r>
    </w:p>
    <w:p w:rsidR="001337E6" w:rsidRPr="001337E6" w:rsidRDefault="001337E6" w:rsidP="001337E6">
      <w:pPr>
        <w:autoSpaceDE w:val="0"/>
        <w:autoSpaceDN w:val="0"/>
        <w:adjustRightInd w:val="0"/>
        <w:ind w:left="0"/>
      </w:pPr>
      <w:r w:rsidRPr="001337E6">
        <w:t>Extirpación de pólipos.</w:t>
      </w:r>
    </w:p>
    <w:p w:rsidR="001337E6" w:rsidRPr="001337E6" w:rsidRDefault="001337E6" w:rsidP="001337E6">
      <w:pPr>
        <w:autoSpaceDE w:val="0"/>
        <w:autoSpaceDN w:val="0"/>
        <w:adjustRightInd w:val="0"/>
        <w:ind w:left="0"/>
      </w:pPr>
      <w:r w:rsidRPr="001337E6">
        <w:t>Implantación de sondas de nutrición (gastrostomía y</w:t>
      </w:r>
      <w:r w:rsidR="00930892">
        <w:t xml:space="preserve"> </w:t>
      </w:r>
      <w:proofErr w:type="spellStart"/>
      <w:r w:rsidRPr="001337E6">
        <w:t>yeyunostomía</w:t>
      </w:r>
      <w:proofErr w:type="spellEnd"/>
      <w:r w:rsidRPr="001337E6">
        <w:t xml:space="preserve"> percutáneas).</w:t>
      </w:r>
    </w:p>
    <w:p w:rsidR="001337E6" w:rsidRPr="001337E6" w:rsidRDefault="001337E6" w:rsidP="001337E6">
      <w:pPr>
        <w:autoSpaceDE w:val="0"/>
        <w:autoSpaceDN w:val="0"/>
        <w:adjustRightInd w:val="0"/>
        <w:ind w:left="0"/>
      </w:pPr>
      <w:r w:rsidRPr="001337E6">
        <w:t>Dilatación de estenosis mediante bujías o balones</w:t>
      </w:r>
      <w:r w:rsidR="00930892">
        <w:t xml:space="preserve"> </w:t>
      </w:r>
      <w:r w:rsidRPr="001337E6">
        <w:t>neumáticos.</w:t>
      </w:r>
    </w:p>
    <w:p w:rsidR="001337E6" w:rsidRPr="001337E6" w:rsidRDefault="001337E6" w:rsidP="001337E6">
      <w:pPr>
        <w:autoSpaceDE w:val="0"/>
        <w:autoSpaceDN w:val="0"/>
        <w:adjustRightInd w:val="0"/>
        <w:ind w:left="0"/>
      </w:pPr>
      <w:r w:rsidRPr="001337E6">
        <w:t xml:space="preserve">Tratamiento de la </w:t>
      </w:r>
      <w:proofErr w:type="spellStart"/>
      <w:r w:rsidRPr="001337E6">
        <w:t>acalasia</w:t>
      </w:r>
      <w:proofErr w:type="spellEnd"/>
      <w:r w:rsidRPr="001337E6">
        <w:t xml:space="preserve"> mediante dilatación forzada</w:t>
      </w:r>
      <w:r w:rsidR="00930892">
        <w:t xml:space="preserve"> </w:t>
      </w:r>
      <w:r w:rsidRPr="001337E6">
        <w:t>o toxina botulínica.</w:t>
      </w:r>
    </w:p>
    <w:p w:rsidR="001337E6" w:rsidRPr="001337E6" w:rsidRDefault="001337E6" w:rsidP="001337E6">
      <w:pPr>
        <w:autoSpaceDE w:val="0"/>
        <w:autoSpaceDN w:val="0"/>
        <w:adjustRightInd w:val="0"/>
        <w:ind w:left="0"/>
      </w:pPr>
      <w:r w:rsidRPr="001337E6">
        <w:t>Tratamiento paliativo de estenosis neoplásicas con</w:t>
      </w:r>
      <w:r w:rsidR="00930892">
        <w:t xml:space="preserve"> </w:t>
      </w:r>
      <w:r w:rsidRPr="001337E6">
        <w:t>coagulación o prótesis metálicas.</w:t>
      </w:r>
    </w:p>
    <w:p w:rsidR="001337E6" w:rsidRPr="001337E6" w:rsidRDefault="001337E6" w:rsidP="001337E6">
      <w:pPr>
        <w:autoSpaceDE w:val="0"/>
        <w:autoSpaceDN w:val="0"/>
        <w:adjustRightInd w:val="0"/>
        <w:ind w:left="0"/>
      </w:pPr>
      <w:r w:rsidRPr="001337E6">
        <w:t xml:space="preserve">Seguimiento de enfermedades </w:t>
      </w:r>
      <w:r w:rsidR="004E3C3B" w:rsidRPr="001337E6">
        <w:t>pre malignas</w:t>
      </w:r>
      <w:r w:rsidRPr="001337E6">
        <w:t xml:space="preserve"> como el</w:t>
      </w:r>
      <w:r w:rsidR="00930892">
        <w:t xml:space="preserve"> </w:t>
      </w:r>
      <w:r w:rsidRPr="001337E6">
        <w:t xml:space="preserve">esófago de </w:t>
      </w:r>
      <w:proofErr w:type="spellStart"/>
      <w:r w:rsidRPr="001337E6">
        <w:t>Barrett</w:t>
      </w:r>
      <w:proofErr w:type="spellEnd"/>
      <w:r w:rsidRPr="001337E6">
        <w:t>.</w:t>
      </w:r>
    </w:p>
    <w:p w:rsidR="001337E6" w:rsidRDefault="001337E6" w:rsidP="001337E6">
      <w:pPr>
        <w:autoSpaceDE w:val="0"/>
        <w:autoSpaceDN w:val="0"/>
        <w:adjustRightInd w:val="0"/>
        <w:ind w:left="0"/>
      </w:pPr>
    </w:p>
    <w:p w:rsidR="001337E6" w:rsidRPr="001337E6" w:rsidRDefault="001337E6" w:rsidP="001337E6">
      <w:pPr>
        <w:autoSpaceDE w:val="0"/>
        <w:autoSpaceDN w:val="0"/>
        <w:adjustRightInd w:val="0"/>
        <w:ind w:left="0"/>
      </w:pPr>
      <w:r w:rsidRPr="001337E6">
        <w:rPr>
          <w:b/>
        </w:rPr>
        <w:t xml:space="preserve">La </w:t>
      </w:r>
      <w:r w:rsidRPr="001337E6">
        <w:rPr>
          <w:b/>
          <w:i/>
          <w:iCs/>
        </w:rPr>
        <w:t>endoscopia digestiva alta generalmente no está indicada</w:t>
      </w:r>
      <w:r w:rsidRPr="009026F4">
        <w:rPr>
          <w:b/>
          <w:vertAlign w:val="superscript"/>
        </w:rPr>
        <w:t>1</w:t>
      </w:r>
      <w:r w:rsidR="004E3C3B" w:rsidRPr="009026F4">
        <w:rPr>
          <w:b/>
          <w:vertAlign w:val="superscript"/>
        </w:rPr>
        <w:t>, 6</w:t>
      </w:r>
      <w:r w:rsidRPr="001337E6">
        <w:t>cuando el resultado de la endoscopia no vaya a influir en el</w:t>
      </w:r>
      <w:r w:rsidR="00F16BEF">
        <w:t xml:space="preserve"> </w:t>
      </w:r>
      <w:r w:rsidRPr="001337E6">
        <w:t>manejo del paciente, cuando los síntomas sugieran trastorno</w:t>
      </w:r>
      <w:r w:rsidR="00F16BEF">
        <w:t xml:space="preserve"> </w:t>
      </w:r>
      <w:r w:rsidRPr="001337E6">
        <w:t>funcional y cuando en la radiología se aprecie: hernia de hiato</w:t>
      </w:r>
      <w:r w:rsidR="00F16BEF">
        <w:t xml:space="preserve"> </w:t>
      </w:r>
      <w:r w:rsidRPr="001337E6">
        <w:t>asintomática o no complicada, una úlcera duodenal bulbar</w:t>
      </w:r>
      <w:r w:rsidR="00F16BEF">
        <w:t xml:space="preserve"> </w:t>
      </w:r>
      <w:r w:rsidRPr="001337E6">
        <w:t>no complicada que responde al tratamiento y una deformidad</w:t>
      </w:r>
      <w:r w:rsidR="00F16BEF">
        <w:t xml:space="preserve"> </w:t>
      </w:r>
      <w:r w:rsidRPr="001337E6">
        <w:t>bulbar asintomática o con síntomas que responden al</w:t>
      </w:r>
      <w:r w:rsidR="00F16BEF">
        <w:t xml:space="preserve"> </w:t>
      </w:r>
      <w:r w:rsidRPr="001337E6">
        <w:t>tratamiento.</w:t>
      </w:r>
    </w:p>
    <w:p w:rsidR="001337E6" w:rsidRDefault="001337E6" w:rsidP="001337E6">
      <w:pPr>
        <w:autoSpaceDE w:val="0"/>
        <w:autoSpaceDN w:val="0"/>
        <w:adjustRightInd w:val="0"/>
        <w:ind w:left="0"/>
      </w:pPr>
    </w:p>
    <w:p w:rsidR="001337E6" w:rsidRDefault="001337E6" w:rsidP="001337E6">
      <w:pPr>
        <w:autoSpaceDE w:val="0"/>
        <w:autoSpaceDN w:val="0"/>
        <w:adjustRightInd w:val="0"/>
        <w:ind w:left="0"/>
        <w:rPr>
          <w:b/>
        </w:rPr>
      </w:pPr>
      <w:r w:rsidRPr="001337E6">
        <w:rPr>
          <w:b/>
        </w:rPr>
        <w:t xml:space="preserve">La </w:t>
      </w:r>
      <w:r w:rsidRPr="001337E6">
        <w:rPr>
          <w:b/>
          <w:i/>
          <w:iCs/>
        </w:rPr>
        <w:t xml:space="preserve">endoscopia digestiva alta periódica no está indicada </w:t>
      </w:r>
      <w:r w:rsidRPr="001337E6">
        <w:rPr>
          <w:b/>
        </w:rPr>
        <w:t>para:</w:t>
      </w:r>
    </w:p>
    <w:p w:rsidR="001337E6" w:rsidRDefault="001337E6" w:rsidP="001337E6">
      <w:pPr>
        <w:autoSpaceDE w:val="0"/>
        <w:autoSpaceDN w:val="0"/>
        <w:adjustRightInd w:val="0"/>
        <w:ind w:left="0"/>
      </w:pPr>
      <w:r w:rsidRPr="001337E6">
        <w:t>Despistaje</w:t>
      </w:r>
      <w:r w:rsidR="00F16BEF">
        <w:t xml:space="preserve"> </w:t>
      </w:r>
      <w:r w:rsidRPr="001337E6">
        <w:t>de cáncer en pacientes con atrofia gástrica, anemia</w:t>
      </w:r>
      <w:r w:rsidR="00F16BEF">
        <w:t xml:space="preserve"> </w:t>
      </w:r>
      <w:r w:rsidRPr="001337E6">
        <w:t xml:space="preserve">perniciosa, </w:t>
      </w:r>
      <w:proofErr w:type="spellStart"/>
      <w:r w:rsidRPr="001337E6">
        <w:t>acalasia</w:t>
      </w:r>
      <w:proofErr w:type="spellEnd"/>
      <w:r w:rsidRPr="001337E6">
        <w:t xml:space="preserve"> tratada o cirugía gástrica previa por patología</w:t>
      </w:r>
      <w:r w:rsidR="00C0611D">
        <w:t xml:space="preserve"> </w:t>
      </w:r>
      <w:r w:rsidRPr="001337E6">
        <w:t>benigna; ni para vigilancia de patología benigna previa</w:t>
      </w:r>
      <w:r w:rsidR="00C0611D">
        <w:t xml:space="preserve"> </w:t>
      </w:r>
      <w:r w:rsidRPr="001337E6">
        <w:t>como esofagitis, úlcera gástrica y duodenal.</w:t>
      </w:r>
    </w:p>
    <w:p w:rsidR="001337E6" w:rsidRPr="001337E6" w:rsidRDefault="001337E6" w:rsidP="001337E6">
      <w:pPr>
        <w:autoSpaceDE w:val="0"/>
        <w:autoSpaceDN w:val="0"/>
        <w:adjustRightInd w:val="0"/>
        <w:ind w:left="0"/>
      </w:pPr>
    </w:p>
    <w:p w:rsidR="0055665C" w:rsidRDefault="001337E6" w:rsidP="001337E6">
      <w:pPr>
        <w:autoSpaceDE w:val="0"/>
        <w:autoSpaceDN w:val="0"/>
        <w:adjustRightInd w:val="0"/>
        <w:ind w:left="0"/>
      </w:pPr>
      <w:r w:rsidRPr="001337E6">
        <w:rPr>
          <w:b/>
        </w:rPr>
        <w:t xml:space="preserve">La </w:t>
      </w:r>
      <w:r w:rsidRPr="001337E6">
        <w:rPr>
          <w:b/>
          <w:i/>
          <w:iCs/>
        </w:rPr>
        <w:t>endoscopia digestiva alta está generalmente contraindicada</w:t>
      </w:r>
      <w:r w:rsidRPr="001337E6">
        <w:t xml:space="preserve">: </w:t>
      </w:r>
    </w:p>
    <w:p w:rsidR="001337E6" w:rsidRDefault="0055665C" w:rsidP="001337E6">
      <w:pPr>
        <w:autoSpaceDE w:val="0"/>
        <w:autoSpaceDN w:val="0"/>
        <w:adjustRightInd w:val="0"/>
        <w:ind w:left="0"/>
      </w:pPr>
      <w:r w:rsidRPr="001337E6">
        <w:t>C</w:t>
      </w:r>
      <w:r w:rsidR="001337E6" w:rsidRPr="001337E6">
        <w:t>uando</w:t>
      </w:r>
      <w:r w:rsidR="00C0611D">
        <w:t xml:space="preserve"> </w:t>
      </w:r>
      <w:r w:rsidR="001337E6" w:rsidRPr="001337E6">
        <w:t>el riesgo de la exploración supere los posibles</w:t>
      </w:r>
      <w:r w:rsidR="00C0611D">
        <w:t xml:space="preserve"> </w:t>
      </w:r>
      <w:r w:rsidR="001337E6" w:rsidRPr="001337E6">
        <w:t>beneficios que reporte al paciente, cuando el paciente no</w:t>
      </w:r>
      <w:r w:rsidR="00C0611D">
        <w:t xml:space="preserve"> </w:t>
      </w:r>
      <w:r w:rsidR="001337E6" w:rsidRPr="001337E6">
        <w:t>coopere o no dé su consentimiento y cuando se sospeche</w:t>
      </w:r>
      <w:r w:rsidR="00C0611D">
        <w:t xml:space="preserve"> </w:t>
      </w:r>
      <w:r w:rsidR="001337E6" w:rsidRPr="001337E6">
        <w:t>perforación de víscera hueca.</w:t>
      </w:r>
    </w:p>
    <w:p w:rsidR="009026F4" w:rsidRDefault="009026F4" w:rsidP="001337E6">
      <w:pPr>
        <w:autoSpaceDE w:val="0"/>
        <w:autoSpaceDN w:val="0"/>
        <w:adjustRightInd w:val="0"/>
        <w:ind w:left="0"/>
      </w:pPr>
    </w:p>
    <w:p w:rsidR="009702EB" w:rsidRPr="009702EB" w:rsidRDefault="009702EB" w:rsidP="009702EB">
      <w:pPr>
        <w:autoSpaceDE w:val="0"/>
        <w:autoSpaceDN w:val="0"/>
        <w:adjustRightInd w:val="0"/>
        <w:ind w:left="0"/>
        <w:rPr>
          <w:b/>
          <w:bCs/>
          <w:color w:val="000000"/>
        </w:rPr>
      </w:pPr>
      <w:r w:rsidRPr="009702EB">
        <w:rPr>
          <w:b/>
          <w:bCs/>
          <w:color w:val="000000"/>
        </w:rPr>
        <w:t>COMPLICACIONES DE LA ENDOSCOPIA DIGESTIVA Y SU TRATAMIENTO</w:t>
      </w:r>
    </w:p>
    <w:p w:rsidR="00594C22" w:rsidRDefault="00594C22" w:rsidP="009702EB">
      <w:pPr>
        <w:autoSpaceDE w:val="0"/>
        <w:autoSpaceDN w:val="0"/>
        <w:adjustRightInd w:val="0"/>
        <w:ind w:left="0"/>
        <w:rPr>
          <w:color w:val="000000"/>
        </w:rPr>
      </w:pPr>
    </w:p>
    <w:p w:rsidR="009702EB" w:rsidRPr="009702EB" w:rsidRDefault="009702EB" w:rsidP="009702EB">
      <w:pPr>
        <w:autoSpaceDE w:val="0"/>
        <w:autoSpaceDN w:val="0"/>
        <w:adjustRightInd w:val="0"/>
        <w:ind w:left="0"/>
        <w:rPr>
          <w:color w:val="000000"/>
        </w:rPr>
      </w:pPr>
      <w:r w:rsidRPr="009702EB">
        <w:rPr>
          <w:color w:val="000000"/>
        </w:rPr>
        <w:t>Las complicaciones de la Endoscopia digestiva (ED) son muy poco frecuentes a pesar de su</w:t>
      </w:r>
      <w:r w:rsidR="00C0611D">
        <w:rPr>
          <w:color w:val="000000"/>
        </w:rPr>
        <w:t xml:space="preserve"> </w:t>
      </w:r>
      <w:r w:rsidRPr="009702EB">
        <w:rPr>
          <w:color w:val="000000"/>
        </w:rPr>
        <w:t xml:space="preserve">utilización cada vez </w:t>
      </w:r>
      <w:r w:rsidR="004E3C3B" w:rsidRPr="009702EB">
        <w:rPr>
          <w:color w:val="000000"/>
        </w:rPr>
        <w:t>más</w:t>
      </w:r>
      <w:r w:rsidRPr="009702EB">
        <w:rPr>
          <w:color w:val="000000"/>
        </w:rPr>
        <w:t xml:space="preserve"> difundida y la diversidad de procedimientos realizado desde la década</w:t>
      </w:r>
      <w:r w:rsidR="00C0611D">
        <w:rPr>
          <w:color w:val="000000"/>
        </w:rPr>
        <w:t xml:space="preserve"> </w:t>
      </w:r>
      <w:r w:rsidRPr="009702EB">
        <w:rPr>
          <w:color w:val="000000"/>
        </w:rPr>
        <w:t>del 70</w:t>
      </w:r>
      <w:r w:rsidR="00077E8C">
        <w:rPr>
          <w:color w:val="000000"/>
          <w:vertAlign w:val="superscript"/>
        </w:rPr>
        <w:t>1</w:t>
      </w:r>
      <w:r w:rsidRPr="009026F4">
        <w:rPr>
          <w:color w:val="000000"/>
          <w:vertAlign w:val="superscript"/>
        </w:rPr>
        <w:t>.</w:t>
      </w:r>
    </w:p>
    <w:p w:rsidR="009702EB" w:rsidRPr="009702EB" w:rsidRDefault="00AC7202" w:rsidP="009702EB">
      <w:pPr>
        <w:autoSpaceDE w:val="0"/>
        <w:autoSpaceDN w:val="0"/>
        <w:adjustRightInd w:val="0"/>
        <w:ind w:left="0"/>
        <w:rPr>
          <w:color w:val="000000"/>
        </w:rPr>
      </w:pPr>
      <w:r w:rsidRPr="009702EB">
        <w:rPr>
          <w:color w:val="000000"/>
        </w:rPr>
        <w:t>Así</w:t>
      </w:r>
      <w:r>
        <w:rPr>
          <w:color w:val="000000"/>
        </w:rPr>
        <w:t xml:space="preserve"> </w:t>
      </w:r>
      <w:r w:rsidR="009702EB" w:rsidRPr="009702EB">
        <w:rPr>
          <w:color w:val="000000"/>
        </w:rPr>
        <w:t xml:space="preserve">mismo las complicaciones serán inevitables en tanto un </w:t>
      </w:r>
      <w:proofErr w:type="spellStart"/>
      <w:r w:rsidR="009702EB" w:rsidRPr="009702EB">
        <w:rPr>
          <w:color w:val="000000"/>
        </w:rPr>
        <w:t>endoscopista</w:t>
      </w:r>
      <w:proofErr w:type="spellEnd"/>
      <w:r w:rsidR="009702EB" w:rsidRPr="009702EB">
        <w:rPr>
          <w:color w:val="000000"/>
        </w:rPr>
        <w:t xml:space="preserve"> realice una cantidad</w:t>
      </w:r>
      <w:r>
        <w:rPr>
          <w:color w:val="000000"/>
        </w:rPr>
        <w:t xml:space="preserve"> </w:t>
      </w:r>
      <w:r w:rsidR="009702EB" w:rsidRPr="009702EB">
        <w:rPr>
          <w:color w:val="000000"/>
        </w:rPr>
        <w:t xml:space="preserve">importante de procedimientos </w:t>
      </w:r>
      <w:r w:rsidR="009702EB" w:rsidRPr="009026F4">
        <w:rPr>
          <w:color w:val="000000"/>
          <w:vertAlign w:val="superscript"/>
        </w:rPr>
        <w:t>2</w:t>
      </w:r>
    </w:p>
    <w:p w:rsidR="009702EB" w:rsidRPr="009702EB" w:rsidRDefault="009702EB" w:rsidP="009702EB">
      <w:pPr>
        <w:autoSpaceDE w:val="0"/>
        <w:autoSpaceDN w:val="0"/>
        <w:adjustRightInd w:val="0"/>
        <w:ind w:left="0"/>
        <w:rPr>
          <w:color w:val="000000"/>
        </w:rPr>
      </w:pPr>
      <w:r w:rsidRPr="009702EB">
        <w:rPr>
          <w:color w:val="000000"/>
        </w:rPr>
        <w:t xml:space="preserve">El conocimiento de las potenciales complicaciones y la frecuencia con la que ocurren </w:t>
      </w:r>
      <w:r w:rsidR="004E3C3B" w:rsidRPr="009702EB">
        <w:rPr>
          <w:color w:val="000000"/>
        </w:rPr>
        <w:t>las mismas</w:t>
      </w:r>
      <w:r w:rsidRPr="009702EB">
        <w:rPr>
          <w:color w:val="000000"/>
        </w:rPr>
        <w:t xml:space="preserve"> pueden llevar a mejorar el análisis de riesgo-beneficio por parte de los médicos </w:t>
      </w:r>
      <w:r w:rsidR="00077E8C">
        <w:rPr>
          <w:color w:val="000000"/>
          <w:vertAlign w:val="superscript"/>
        </w:rPr>
        <w:t>2, 3</w:t>
      </w:r>
      <w:r w:rsidRPr="009026F4">
        <w:rPr>
          <w:color w:val="000000"/>
          <w:vertAlign w:val="superscript"/>
        </w:rPr>
        <w:t>.</w:t>
      </w:r>
    </w:p>
    <w:p w:rsidR="009702EB" w:rsidRPr="009702EB" w:rsidRDefault="009702EB" w:rsidP="009702EB">
      <w:pPr>
        <w:autoSpaceDE w:val="0"/>
        <w:autoSpaceDN w:val="0"/>
        <w:adjustRightInd w:val="0"/>
        <w:ind w:left="0"/>
        <w:rPr>
          <w:color w:val="000000"/>
        </w:rPr>
      </w:pPr>
      <w:r w:rsidRPr="009702EB">
        <w:rPr>
          <w:color w:val="000000"/>
        </w:rPr>
        <w:lastRenderedPageBreak/>
        <w:t>Por otra parte el reconocimiento temprano de las complicaciones y la inmediata intervención</w:t>
      </w:r>
      <w:r w:rsidR="005F2162">
        <w:rPr>
          <w:color w:val="000000"/>
        </w:rPr>
        <w:t xml:space="preserve"> </w:t>
      </w:r>
      <w:r w:rsidRPr="009702EB">
        <w:rPr>
          <w:color w:val="000000"/>
        </w:rPr>
        <w:t xml:space="preserve">pueden minimizar la morbilidad del paciente </w:t>
      </w:r>
      <w:r w:rsidR="00077E8C">
        <w:rPr>
          <w:color w:val="000000"/>
          <w:vertAlign w:val="superscript"/>
        </w:rPr>
        <w:t>2</w:t>
      </w:r>
      <w:r w:rsidRPr="009026F4">
        <w:rPr>
          <w:color w:val="000000"/>
          <w:vertAlign w:val="superscript"/>
        </w:rPr>
        <w:t>.</w:t>
      </w:r>
    </w:p>
    <w:p w:rsidR="009702EB" w:rsidRPr="009702EB" w:rsidRDefault="009702EB" w:rsidP="009702EB">
      <w:pPr>
        <w:autoSpaceDE w:val="0"/>
        <w:autoSpaceDN w:val="0"/>
        <w:adjustRightInd w:val="0"/>
        <w:ind w:left="0"/>
        <w:rPr>
          <w:color w:val="000000"/>
        </w:rPr>
      </w:pPr>
      <w:r w:rsidRPr="009702EB">
        <w:rPr>
          <w:color w:val="000000"/>
        </w:rPr>
        <w:t>Es muy importante hacer hincapié en el aspecto preventivo que a veces puede significar la</w:t>
      </w:r>
      <w:r w:rsidR="005F2162">
        <w:rPr>
          <w:color w:val="000000"/>
        </w:rPr>
        <w:t xml:space="preserve"> </w:t>
      </w:r>
      <w:r w:rsidRPr="009702EB">
        <w:rPr>
          <w:color w:val="000000"/>
        </w:rPr>
        <w:t>realización de una cuidadosa H</w:t>
      </w:r>
      <w:r w:rsidR="005F2162">
        <w:rPr>
          <w:color w:val="000000"/>
        </w:rPr>
        <w:t xml:space="preserve">istoria </w:t>
      </w:r>
      <w:proofErr w:type="spellStart"/>
      <w:r w:rsidRPr="009702EB">
        <w:rPr>
          <w:color w:val="000000"/>
        </w:rPr>
        <w:t>C</w:t>
      </w:r>
      <w:r w:rsidR="005F2162">
        <w:rPr>
          <w:color w:val="000000"/>
        </w:rPr>
        <w:t>linica</w:t>
      </w:r>
      <w:proofErr w:type="spellEnd"/>
      <w:r w:rsidRPr="009702EB">
        <w:rPr>
          <w:color w:val="000000"/>
        </w:rPr>
        <w:t xml:space="preserve"> y en otras situaciones, por ejemplo, tener presente que la</w:t>
      </w:r>
      <w:r w:rsidR="005F2162">
        <w:rPr>
          <w:color w:val="000000"/>
        </w:rPr>
        <w:t xml:space="preserve"> </w:t>
      </w:r>
      <w:r w:rsidRPr="009702EB">
        <w:rPr>
          <w:color w:val="000000"/>
        </w:rPr>
        <w:t>preparación para una colonoscopía no solo puede ser útil para la correcta visualización de la</w:t>
      </w:r>
      <w:r w:rsidR="005F2162">
        <w:rPr>
          <w:color w:val="000000"/>
        </w:rPr>
        <w:t xml:space="preserve"> </w:t>
      </w:r>
      <w:r w:rsidRPr="009702EB">
        <w:rPr>
          <w:color w:val="000000"/>
        </w:rPr>
        <w:t xml:space="preserve">mucosa </w:t>
      </w:r>
      <w:proofErr w:type="spellStart"/>
      <w:r w:rsidRPr="009702EB">
        <w:rPr>
          <w:color w:val="000000"/>
        </w:rPr>
        <w:t>colónica</w:t>
      </w:r>
      <w:proofErr w:type="spellEnd"/>
      <w:r w:rsidRPr="009702EB">
        <w:rPr>
          <w:color w:val="000000"/>
        </w:rPr>
        <w:t xml:space="preserve"> sino que el colon limpio también facilita la decisión respecto a si una</w:t>
      </w:r>
      <w:r w:rsidR="005F2162">
        <w:rPr>
          <w:color w:val="000000"/>
        </w:rPr>
        <w:t xml:space="preserve"> </w:t>
      </w:r>
      <w:r w:rsidRPr="009702EB">
        <w:rPr>
          <w:color w:val="000000"/>
        </w:rPr>
        <w:t xml:space="preserve">perforación debe someterse a tratamiento médico ó quirúrgico. </w:t>
      </w:r>
      <w:r w:rsidRPr="009026F4">
        <w:rPr>
          <w:color w:val="000000"/>
          <w:vertAlign w:val="superscript"/>
        </w:rPr>
        <w:t>3</w:t>
      </w:r>
    </w:p>
    <w:p w:rsidR="009702EB" w:rsidRPr="009702EB" w:rsidRDefault="009702EB" w:rsidP="009702EB">
      <w:pPr>
        <w:autoSpaceDE w:val="0"/>
        <w:autoSpaceDN w:val="0"/>
        <w:adjustRightInd w:val="0"/>
        <w:ind w:left="0"/>
        <w:rPr>
          <w:color w:val="000000"/>
        </w:rPr>
      </w:pPr>
      <w:r w:rsidRPr="009702EB">
        <w:rPr>
          <w:color w:val="000000"/>
        </w:rPr>
        <w:t>El consentimiento informado es importante para el manejo del riesgo y debe observarse antes</w:t>
      </w:r>
      <w:r w:rsidR="00C00956">
        <w:rPr>
          <w:color w:val="000000"/>
        </w:rPr>
        <w:t xml:space="preserve"> </w:t>
      </w:r>
      <w:r w:rsidRPr="009702EB">
        <w:rPr>
          <w:color w:val="000000"/>
        </w:rPr>
        <w:t>de cada endoscopía. El elemento fundamental del consentimiento es descubrir la naturaleza</w:t>
      </w:r>
      <w:r w:rsidR="00C00956">
        <w:rPr>
          <w:color w:val="000000"/>
        </w:rPr>
        <w:t xml:space="preserve"> </w:t>
      </w:r>
      <w:r w:rsidRPr="009702EB">
        <w:rPr>
          <w:color w:val="000000"/>
        </w:rPr>
        <w:t>del procedimiento propuesto, la razón para realizar la endoscopía, los beneficios del mismo, los</w:t>
      </w:r>
      <w:r w:rsidR="00C00956">
        <w:rPr>
          <w:color w:val="000000"/>
        </w:rPr>
        <w:t xml:space="preserve"> </w:t>
      </w:r>
      <w:r w:rsidRPr="009702EB">
        <w:rPr>
          <w:color w:val="000000"/>
        </w:rPr>
        <w:t xml:space="preserve">riesgos y las complicaciones así como las </w:t>
      </w:r>
      <w:r w:rsidR="004E3C3B" w:rsidRPr="009702EB">
        <w:rPr>
          <w:color w:val="000000"/>
        </w:rPr>
        <w:t>alternativas</w:t>
      </w:r>
      <w:r w:rsidR="00077E8C">
        <w:rPr>
          <w:color w:val="000000"/>
          <w:vertAlign w:val="superscript"/>
        </w:rPr>
        <w:t xml:space="preserve"> 4, 5</w:t>
      </w:r>
      <w:r w:rsidRPr="009026F4">
        <w:rPr>
          <w:color w:val="000000"/>
          <w:vertAlign w:val="superscript"/>
        </w:rPr>
        <w:t>.</w:t>
      </w:r>
    </w:p>
    <w:p w:rsidR="009702EB" w:rsidRDefault="009702EB" w:rsidP="009702EB">
      <w:pPr>
        <w:autoSpaceDE w:val="0"/>
        <w:autoSpaceDN w:val="0"/>
        <w:adjustRightInd w:val="0"/>
        <w:ind w:left="0"/>
        <w:rPr>
          <w:color w:val="000000"/>
        </w:rPr>
      </w:pPr>
      <w:r w:rsidRPr="009702EB">
        <w:rPr>
          <w:color w:val="000000"/>
        </w:rPr>
        <w:t xml:space="preserve">El análisis de los archivos de la </w:t>
      </w:r>
      <w:proofErr w:type="spellStart"/>
      <w:r w:rsidRPr="009702EB">
        <w:rPr>
          <w:color w:val="000000"/>
        </w:rPr>
        <w:t>Physicians</w:t>
      </w:r>
      <w:proofErr w:type="spellEnd"/>
      <w:r w:rsidR="00C00956">
        <w:rPr>
          <w:color w:val="000000"/>
        </w:rPr>
        <w:t xml:space="preserve"> </w:t>
      </w:r>
      <w:proofErr w:type="spellStart"/>
      <w:r w:rsidRPr="009702EB">
        <w:rPr>
          <w:color w:val="000000"/>
        </w:rPr>
        <w:t>Insurer</w:t>
      </w:r>
      <w:proofErr w:type="spellEnd"/>
      <w:r w:rsidR="00C00956">
        <w:rPr>
          <w:color w:val="000000"/>
        </w:rPr>
        <w:t xml:space="preserve"> </w:t>
      </w:r>
      <w:proofErr w:type="spellStart"/>
      <w:r w:rsidRPr="009702EB">
        <w:rPr>
          <w:color w:val="000000"/>
        </w:rPr>
        <w:t>Asociation</w:t>
      </w:r>
      <w:proofErr w:type="spellEnd"/>
      <w:r w:rsidRPr="009702EB">
        <w:rPr>
          <w:color w:val="000000"/>
        </w:rPr>
        <w:t xml:space="preserve"> of </w:t>
      </w:r>
      <w:proofErr w:type="spellStart"/>
      <w:r w:rsidRPr="009702EB">
        <w:rPr>
          <w:color w:val="000000"/>
        </w:rPr>
        <w:t>America</w:t>
      </w:r>
      <w:proofErr w:type="spellEnd"/>
      <w:r w:rsidRPr="009702EB">
        <w:rPr>
          <w:color w:val="000000"/>
        </w:rPr>
        <w:t xml:space="preserve"> revela que los juicios</w:t>
      </w:r>
      <w:r w:rsidR="00C00956">
        <w:rPr>
          <w:color w:val="000000"/>
        </w:rPr>
        <w:t xml:space="preserve"> </w:t>
      </w:r>
      <w:r w:rsidRPr="009702EB">
        <w:rPr>
          <w:color w:val="000000"/>
        </w:rPr>
        <w:t>por mala praxis y las demandas relacionadas con procedimientos endoscópicos se distribuyen</w:t>
      </w:r>
      <w:r w:rsidR="00C00956">
        <w:rPr>
          <w:color w:val="000000"/>
        </w:rPr>
        <w:t xml:space="preserve"> </w:t>
      </w:r>
      <w:r w:rsidRPr="009702EB">
        <w:rPr>
          <w:color w:val="000000"/>
        </w:rPr>
        <w:t>de la siguiente manera: 1) Endoscopía superior incluida la dilatación esofágica (39%), 2) la</w:t>
      </w:r>
      <w:r w:rsidR="00C00956">
        <w:rPr>
          <w:color w:val="000000"/>
        </w:rPr>
        <w:t xml:space="preserve"> </w:t>
      </w:r>
      <w:r w:rsidRPr="009702EB">
        <w:rPr>
          <w:color w:val="000000"/>
        </w:rPr>
        <w:t xml:space="preserve">colonoscopía y procedimientos relacionados (34%), </w:t>
      </w:r>
      <w:r w:rsidR="004E3C3B" w:rsidRPr="009702EB">
        <w:rPr>
          <w:color w:val="000000"/>
        </w:rPr>
        <w:t>sigmoideos copia</w:t>
      </w:r>
      <w:r w:rsidRPr="009702EB">
        <w:rPr>
          <w:color w:val="000000"/>
        </w:rPr>
        <w:t xml:space="preserve"> tanto rígida como flexible(25%), y ERCP (2%). Casi todos los reclamos se relacionaron con perforación y lo que con más</w:t>
      </w:r>
      <w:r w:rsidR="00C00956">
        <w:rPr>
          <w:color w:val="000000"/>
        </w:rPr>
        <w:t xml:space="preserve"> </w:t>
      </w:r>
      <w:r w:rsidRPr="009702EB">
        <w:rPr>
          <w:color w:val="000000"/>
        </w:rPr>
        <w:t xml:space="preserve">frecuencia se alego fue la práctica inapropiada (55% de los reclamos). </w:t>
      </w:r>
      <w:r w:rsidRPr="009026F4">
        <w:rPr>
          <w:color w:val="000000"/>
          <w:vertAlign w:val="superscript"/>
        </w:rPr>
        <w:t>1</w:t>
      </w:r>
    </w:p>
    <w:p w:rsidR="009702EB" w:rsidRDefault="009702EB" w:rsidP="009702EB">
      <w:pPr>
        <w:autoSpaceDE w:val="0"/>
        <w:autoSpaceDN w:val="0"/>
        <w:adjustRightInd w:val="0"/>
        <w:ind w:left="0"/>
        <w:rPr>
          <w:color w:val="000000"/>
        </w:rPr>
      </w:pPr>
    </w:p>
    <w:p w:rsidR="009702EB" w:rsidRPr="009702EB" w:rsidRDefault="009702EB" w:rsidP="009702EB">
      <w:pPr>
        <w:autoSpaceDE w:val="0"/>
        <w:autoSpaceDN w:val="0"/>
        <w:adjustRightInd w:val="0"/>
        <w:ind w:left="0"/>
        <w:rPr>
          <w:b/>
          <w:bCs/>
          <w:color w:val="000000"/>
        </w:rPr>
      </w:pPr>
      <w:r w:rsidRPr="009702EB">
        <w:rPr>
          <w:b/>
          <w:bCs/>
          <w:color w:val="000000"/>
        </w:rPr>
        <w:t>COMPLICACIONES DE LA ENDOSCOPIA DIGESTIVA ALTA</w:t>
      </w:r>
    </w:p>
    <w:p w:rsidR="008E7873" w:rsidRDefault="008E7873" w:rsidP="009702EB">
      <w:pPr>
        <w:autoSpaceDE w:val="0"/>
        <w:autoSpaceDN w:val="0"/>
        <w:adjustRightInd w:val="0"/>
        <w:ind w:left="0"/>
        <w:rPr>
          <w:color w:val="000000"/>
        </w:rPr>
      </w:pPr>
    </w:p>
    <w:p w:rsidR="009702EB" w:rsidRDefault="009702EB" w:rsidP="009702EB">
      <w:pPr>
        <w:autoSpaceDE w:val="0"/>
        <w:autoSpaceDN w:val="0"/>
        <w:adjustRightInd w:val="0"/>
        <w:ind w:left="0"/>
        <w:rPr>
          <w:color w:val="000000"/>
        </w:rPr>
      </w:pPr>
      <w:r w:rsidRPr="009702EB">
        <w:rPr>
          <w:color w:val="000000"/>
        </w:rPr>
        <w:t>La endoscopía digestiva alta (EDA), es un procedimiento muy comúnmente efectuado y las</w:t>
      </w:r>
      <w:r w:rsidR="00094709">
        <w:rPr>
          <w:color w:val="000000"/>
        </w:rPr>
        <w:t xml:space="preserve"> </w:t>
      </w:r>
      <w:r w:rsidRPr="009702EB">
        <w:rPr>
          <w:color w:val="000000"/>
        </w:rPr>
        <w:t>complicaciones relacionadas con las evaluaciones digestivas, según diversas publicaciones las</w:t>
      </w:r>
      <w:r w:rsidR="00094709">
        <w:rPr>
          <w:color w:val="000000"/>
        </w:rPr>
        <w:t xml:space="preserve"> </w:t>
      </w:r>
      <w:r w:rsidRPr="009702EB">
        <w:rPr>
          <w:color w:val="000000"/>
        </w:rPr>
        <w:t xml:space="preserve">sitúan en alrededor del 0.13 %; con una mortalidad asociada del 0.004 %. </w:t>
      </w:r>
      <w:r w:rsidRPr="009026F4">
        <w:rPr>
          <w:color w:val="000000"/>
          <w:vertAlign w:val="superscript"/>
        </w:rPr>
        <w:t>6</w:t>
      </w:r>
    </w:p>
    <w:p w:rsidR="009702EB" w:rsidRPr="009702EB" w:rsidRDefault="009702EB" w:rsidP="009702EB">
      <w:pPr>
        <w:autoSpaceDE w:val="0"/>
        <w:autoSpaceDN w:val="0"/>
        <w:adjustRightInd w:val="0"/>
        <w:ind w:left="0"/>
        <w:rPr>
          <w:color w:val="000000"/>
        </w:rPr>
      </w:pPr>
    </w:p>
    <w:p w:rsidR="009702EB" w:rsidRPr="009702EB" w:rsidRDefault="009702EB" w:rsidP="009702EB">
      <w:pPr>
        <w:autoSpaceDE w:val="0"/>
        <w:autoSpaceDN w:val="0"/>
        <w:adjustRightInd w:val="0"/>
        <w:ind w:left="0"/>
        <w:rPr>
          <w:color w:val="000000"/>
        </w:rPr>
      </w:pPr>
      <w:r w:rsidRPr="009702EB">
        <w:rPr>
          <w:color w:val="000000"/>
        </w:rPr>
        <w:t>Las mayores complicaciones relacionadas a procedimientos diagnósticos pueden ser divididas</w:t>
      </w:r>
      <w:r w:rsidR="00094709">
        <w:rPr>
          <w:color w:val="000000"/>
        </w:rPr>
        <w:t xml:space="preserve"> </w:t>
      </w:r>
      <w:r w:rsidRPr="009702EB">
        <w:rPr>
          <w:color w:val="000000"/>
        </w:rPr>
        <w:t xml:space="preserve">en: cardiopulmonares, relacionadas con la sedación, infecciosas, perforación y sangrado. </w:t>
      </w:r>
      <w:r w:rsidRPr="009026F4">
        <w:rPr>
          <w:color w:val="000000"/>
          <w:vertAlign w:val="superscript"/>
        </w:rPr>
        <w:t>2</w:t>
      </w:r>
    </w:p>
    <w:p w:rsidR="009026F4" w:rsidRDefault="009026F4" w:rsidP="009702EB">
      <w:pPr>
        <w:autoSpaceDE w:val="0"/>
        <w:autoSpaceDN w:val="0"/>
        <w:adjustRightInd w:val="0"/>
        <w:ind w:left="0"/>
        <w:rPr>
          <w:b/>
          <w:bCs/>
          <w:color w:val="000000"/>
        </w:rPr>
      </w:pPr>
    </w:p>
    <w:p w:rsidR="009702EB" w:rsidRPr="009702EB" w:rsidRDefault="009702EB" w:rsidP="009702EB">
      <w:pPr>
        <w:autoSpaceDE w:val="0"/>
        <w:autoSpaceDN w:val="0"/>
        <w:adjustRightInd w:val="0"/>
        <w:ind w:left="0"/>
        <w:rPr>
          <w:b/>
          <w:bCs/>
          <w:color w:val="000000"/>
        </w:rPr>
      </w:pPr>
      <w:r w:rsidRPr="009702EB">
        <w:rPr>
          <w:b/>
          <w:bCs/>
          <w:color w:val="000000"/>
        </w:rPr>
        <w:t>COMPLICACIONES CARDIOPULMONARES Y RELACIONADAS CON LA SEDACION</w:t>
      </w:r>
    </w:p>
    <w:p w:rsidR="009702EB" w:rsidRDefault="009702EB" w:rsidP="009702EB">
      <w:pPr>
        <w:autoSpaceDE w:val="0"/>
        <w:autoSpaceDN w:val="0"/>
        <w:adjustRightInd w:val="0"/>
        <w:ind w:left="0"/>
        <w:rPr>
          <w:color w:val="000000"/>
        </w:rPr>
      </w:pPr>
    </w:p>
    <w:p w:rsidR="009702EB" w:rsidRDefault="009702EB" w:rsidP="009702EB">
      <w:pPr>
        <w:autoSpaceDE w:val="0"/>
        <w:autoSpaceDN w:val="0"/>
        <w:adjustRightInd w:val="0"/>
        <w:ind w:left="0"/>
        <w:rPr>
          <w:color w:val="000000"/>
        </w:rPr>
      </w:pPr>
      <w:r w:rsidRPr="009702EB">
        <w:rPr>
          <w:color w:val="000000"/>
        </w:rPr>
        <w:t xml:space="preserve">Son las </w:t>
      </w:r>
      <w:r w:rsidR="004E3C3B" w:rsidRPr="009702EB">
        <w:rPr>
          <w:color w:val="000000"/>
        </w:rPr>
        <w:t>más</w:t>
      </w:r>
      <w:r w:rsidRPr="009702EB">
        <w:rPr>
          <w:color w:val="000000"/>
        </w:rPr>
        <w:t xml:space="preserve"> comunes y sobre</w:t>
      </w:r>
      <w:r w:rsidR="00094709">
        <w:rPr>
          <w:color w:val="000000"/>
        </w:rPr>
        <w:t xml:space="preserve"> </w:t>
      </w:r>
      <w:r w:rsidRPr="009702EB">
        <w:rPr>
          <w:color w:val="000000"/>
        </w:rPr>
        <w:t>pasan según algunos autores el 46 % del total de las</w:t>
      </w:r>
      <w:r w:rsidR="00094709">
        <w:rPr>
          <w:color w:val="000000"/>
        </w:rPr>
        <w:t xml:space="preserve"> </w:t>
      </w:r>
      <w:r w:rsidRPr="009702EB">
        <w:rPr>
          <w:color w:val="000000"/>
        </w:rPr>
        <w:t xml:space="preserve">complicaciones, </w:t>
      </w:r>
      <w:r w:rsidR="00077E8C">
        <w:rPr>
          <w:color w:val="000000"/>
          <w:vertAlign w:val="superscript"/>
        </w:rPr>
        <w:t>2, 6</w:t>
      </w:r>
      <w:r w:rsidRPr="009702EB">
        <w:rPr>
          <w:color w:val="000000"/>
        </w:rPr>
        <w:t xml:space="preserve"> aunque otros reportes indican que se presenta en un 40 %.</w:t>
      </w:r>
      <w:r w:rsidRPr="009026F4">
        <w:rPr>
          <w:color w:val="000000"/>
          <w:vertAlign w:val="superscript"/>
        </w:rPr>
        <w:t>7</w:t>
      </w:r>
    </w:p>
    <w:p w:rsidR="009702EB" w:rsidRPr="009702EB" w:rsidRDefault="009702EB" w:rsidP="009702EB">
      <w:pPr>
        <w:autoSpaceDE w:val="0"/>
        <w:autoSpaceDN w:val="0"/>
        <w:adjustRightInd w:val="0"/>
        <w:ind w:left="0"/>
        <w:rPr>
          <w:color w:val="000000"/>
        </w:rPr>
      </w:pPr>
      <w:r w:rsidRPr="009702EB">
        <w:rPr>
          <w:color w:val="000000"/>
        </w:rPr>
        <w:t>Estas complicaciones van desde leves cambios en los signos vitales a infartos de miocardio.</w:t>
      </w:r>
    </w:p>
    <w:p w:rsidR="009702EB" w:rsidRPr="009702EB" w:rsidRDefault="009702EB" w:rsidP="009702EB">
      <w:pPr>
        <w:autoSpaceDE w:val="0"/>
        <w:autoSpaceDN w:val="0"/>
        <w:adjustRightInd w:val="0"/>
        <w:ind w:left="0"/>
        <w:rPr>
          <w:color w:val="000000"/>
        </w:rPr>
      </w:pPr>
      <w:r w:rsidRPr="009702EB">
        <w:rPr>
          <w:color w:val="000000"/>
        </w:rPr>
        <w:t>Con la introducción de la oximetría de pulso se han reportado desde leves cambios en la</w:t>
      </w:r>
      <w:r w:rsidR="00094709">
        <w:rPr>
          <w:color w:val="000000"/>
        </w:rPr>
        <w:t xml:space="preserve"> </w:t>
      </w:r>
      <w:r w:rsidRPr="009702EB">
        <w:rPr>
          <w:color w:val="000000"/>
        </w:rPr>
        <w:t xml:space="preserve">saturación de oxígeno hasta severas </w:t>
      </w:r>
      <w:proofErr w:type="spellStart"/>
      <w:r w:rsidRPr="009702EB">
        <w:rPr>
          <w:color w:val="000000"/>
        </w:rPr>
        <w:t>desaturaciones</w:t>
      </w:r>
      <w:proofErr w:type="spellEnd"/>
      <w:r w:rsidRPr="009702EB">
        <w:rPr>
          <w:color w:val="000000"/>
        </w:rPr>
        <w:t xml:space="preserve">. </w:t>
      </w:r>
      <w:r w:rsidRPr="009026F4">
        <w:rPr>
          <w:color w:val="000000"/>
          <w:vertAlign w:val="superscript"/>
        </w:rPr>
        <w:t>2</w:t>
      </w:r>
    </w:p>
    <w:p w:rsidR="009702EB" w:rsidRPr="009702EB" w:rsidRDefault="009702EB" w:rsidP="009702EB">
      <w:pPr>
        <w:autoSpaceDE w:val="0"/>
        <w:autoSpaceDN w:val="0"/>
        <w:adjustRightInd w:val="0"/>
        <w:ind w:left="0"/>
        <w:rPr>
          <w:color w:val="000000"/>
        </w:rPr>
      </w:pPr>
      <w:r w:rsidRPr="009702EB">
        <w:rPr>
          <w:color w:val="000000"/>
        </w:rPr>
        <w:t xml:space="preserve">Los factores involucrados en la </w:t>
      </w:r>
      <w:proofErr w:type="spellStart"/>
      <w:r w:rsidRPr="009702EB">
        <w:rPr>
          <w:color w:val="000000"/>
        </w:rPr>
        <w:t>desaturación</w:t>
      </w:r>
      <w:proofErr w:type="spellEnd"/>
      <w:r w:rsidRPr="009702EB">
        <w:rPr>
          <w:color w:val="000000"/>
        </w:rPr>
        <w:t xml:space="preserve"> de oxígeno son una intubación difícil, que puede</w:t>
      </w:r>
      <w:r w:rsidR="00094709">
        <w:rPr>
          <w:color w:val="000000"/>
        </w:rPr>
        <w:t xml:space="preserve"> </w:t>
      </w:r>
      <w:r w:rsidRPr="009702EB">
        <w:rPr>
          <w:color w:val="000000"/>
        </w:rPr>
        <w:t xml:space="preserve">estar relacionada con el tamaño del endoscopio, factores </w:t>
      </w:r>
      <w:r w:rsidRPr="009702EB">
        <w:rPr>
          <w:color w:val="000000"/>
        </w:rPr>
        <w:lastRenderedPageBreak/>
        <w:t>inherentes al paciente como por</w:t>
      </w:r>
      <w:r w:rsidR="008345E6">
        <w:rPr>
          <w:color w:val="000000"/>
        </w:rPr>
        <w:t xml:space="preserve"> </w:t>
      </w:r>
      <w:r w:rsidRPr="009702EB">
        <w:rPr>
          <w:color w:val="000000"/>
        </w:rPr>
        <w:t>ejemplo ser portador de enfermedad cardiopulmonar.</w:t>
      </w:r>
    </w:p>
    <w:p w:rsidR="009702EB" w:rsidRPr="009702EB" w:rsidRDefault="009702EB" w:rsidP="009702EB">
      <w:pPr>
        <w:autoSpaceDE w:val="0"/>
        <w:autoSpaceDN w:val="0"/>
        <w:adjustRightInd w:val="0"/>
        <w:ind w:left="0"/>
        <w:rPr>
          <w:color w:val="000000"/>
        </w:rPr>
      </w:pPr>
      <w:r w:rsidRPr="009702EB">
        <w:rPr>
          <w:color w:val="000000"/>
        </w:rPr>
        <w:t>El uso cuidadoso de una sedación consciente, contando con un equipamiento de monitoreo</w:t>
      </w:r>
      <w:r w:rsidR="008345E6">
        <w:rPr>
          <w:color w:val="000000"/>
        </w:rPr>
        <w:t xml:space="preserve"> </w:t>
      </w:r>
      <w:r w:rsidRPr="009702EB">
        <w:rPr>
          <w:color w:val="000000"/>
        </w:rPr>
        <w:t>adecuado ayudan sobre</w:t>
      </w:r>
      <w:r w:rsidR="008345E6">
        <w:rPr>
          <w:color w:val="000000"/>
        </w:rPr>
        <w:t xml:space="preserve"> </w:t>
      </w:r>
      <w:r w:rsidRPr="009702EB">
        <w:rPr>
          <w:color w:val="000000"/>
        </w:rPr>
        <w:t xml:space="preserve">manera a evitar estas complicaciones. </w:t>
      </w:r>
      <w:r w:rsidRPr="009026F4">
        <w:rPr>
          <w:color w:val="000000"/>
          <w:vertAlign w:val="superscript"/>
        </w:rPr>
        <w:t>2</w:t>
      </w:r>
    </w:p>
    <w:p w:rsidR="00804EE2" w:rsidRDefault="00804EE2" w:rsidP="009702EB">
      <w:pPr>
        <w:autoSpaceDE w:val="0"/>
        <w:autoSpaceDN w:val="0"/>
        <w:adjustRightInd w:val="0"/>
        <w:ind w:left="0"/>
        <w:rPr>
          <w:b/>
          <w:bCs/>
          <w:color w:val="000000"/>
        </w:rPr>
      </w:pPr>
    </w:p>
    <w:p w:rsidR="009702EB" w:rsidRPr="009702EB" w:rsidRDefault="009702EB" w:rsidP="009702EB">
      <w:pPr>
        <w:autoSpaceDE w:val="0"/>
        <w:autoSpaceDN w:val="0"/>
        <w:adjustRightInd w:val="0"/>
        <w:ind w:left="0"/>
        <w:rPr>
          <w:b/>
          <w:bCs/>
          <w:color w:val="000000"/>
        </w:rPr>
      </w:pPr>
      <w:r w:rsidRPr="009702EB">
        <w:rPr>
          <w:b/>
          <w:bCs/>
          <w:color w:val="000000"/>
        </w:rPr>
        <w:t>COMPLICACIONES INFECCIOSAS</w:t>
      </w:r>
    </w:p>
    <w:p w:rsidR="008E7873" w:rsidRDefault="008E7873" w:rsidP="009702EB">
      <w:pPr>
        <w:autoSpaceDE w:val="0"/>
        <w:autoSpaceDN w:val="0"/>
        <w:adjustRightInd w:val="0"/>
        <w:ind w:left="0"/>
        <w:rPr>
          <w:color w:val="000000"/>
        </w:rPr>
      </w:pPr>
    </w:p>
    <w:p w:rsidR="009702EB" w:rsidRPr="009702EB" w:rsidRDefault="009702EB" w:rsidP="009702EB">
      <w:pPr>
        <w:autoSpaceDE w:val="0"/>
        <w:autoSpaceDN w:val="0"/>
        <w:adjustRightInd w:val="0"/>
        <w:ind w:left="0"/>
        <w:rPr>
          <w:color w:val="000000"/>
        </w:rPr>
      </w:pPr>
      <w:r w:rsidRPr="009702EB">
        <w:rPr>
          <w:color w:val="000000"/>
        </w:rPr>
        <w:t>Estas complicaciones pueden estar relacionadas con el procedimiento en si ó por el uso de</w:t>
      </w:r>
      <w:r w:rsidR="008345E6">
        <w:rPr>
          <w:color w:val="000000"/>
        </w:rPr>
        <w:t xml:space="preserve"> </w:t>
      </w:r>
      <w:r w:rsidRPr="009702EB">
        <w:rPr>
          <w:color w:val="000000"/>
        </w:rPr>
        <w:t>equipamiento contaminado.</w:t>
      </w:r>
    </w:p>
    <w:p w:rsidR="009702EB" w:rsidRPr="009702EB" w:rsidRDefault="009702EB" w:rsidP="009702EB">
      <w:pPr>
        <w:autoSpaceDE w:val="0"/>
        <w:autoSpaceDN w:val="0"/>
        <w:adjustRightInd w:val="0"/>
        <w:ind w:left="0"/>
        <w:rPr>
          <w:color w:val="000000"/>
        </w:rPr>
      </w:pPr>
      <w:r w:rsidRPr="009702EB">
        <w:rPr>
          <w:color w:val="000000"/>
        </w:rPr>
        <w:t>Pueden verse bacteriemias transitorias en procedimientos diagnósticos, pero son más</w:t>
      </w:r>
      <w:r w:rsidR="008345E6">
        <w:rPr>
          <w:color w:val="000000"/>
        </w:rPr>
        <w:t xml:space="preserve"> </w:t>
      </w:r>
      <w:r w:rsidRPr="009702EB">
        <w:rPr>
          <w:color w:val="000000"/>
        </w:rPr>
        <w:t xml:space="preserve">frecuentes en procedimientos terapéuticos. </w:t>
      </w:r>
      <w:r w:rsidRPr="009026F4">
        <w:rPr>
          <w:color w:val="000000"/>
          <w:vertAlign w:val="superscript"/>
        </w:rPr>
        <w:t>7</w:t>
      </w:r>
    </w:p>
    <w:p w:rsidR="009702EB" w:rsidRPr="009702EB" w:rsidRDefault="009702EB" w:rsidP="009702EB">
      <w:pPr>
        <w:autoSpaceDE w:val="0"/>
        <w:autoSpaceDN w:val="0"/>
        <w:adjustRightInd w:val="0"/>
        <w:ind w:left="0"/>
        <w:rPr>
          <w:color w:val="000000"/>
        </w:rPr>
      </w:pPr>
      <w:r w:rsidRPr="009702EB">
        <w:rPr>
          <w:color w:val="000000"/>
        </w:rPr>
        <w:t>La incidencia es relativamente baja y el riesgo de endocarditis en pacientes con válvulas sanas</w:t>
      </w:r>
      <w:r w:rsidR="008345E6">
        <w:rPr>
          <w:color w:val="000000"/>
        </w:rPr>
        <w:t xml:space="preserve"> </w:t>
      </w:r>
      <w:r w:rsidRPr="009702EB">
        <w:rPr>
          <w:color w:val="000000"/>
        </w:rPr>
        <w:t xml:space="preserve">se estima en 1 en 5 a 10 millones. </w:t>
      </w:r>
      <w:r w:rsidRPr="009026F4">
        <w:rPr>
          <w:color w:val="000000"/>
          <w:vertAlign w:val="superscript"/>
        </w:rPr>
        <w:t>2</w:t>
      </w:r>
    </w:p>
    <w:p w:rsidR="009702EB" w:rsidRPr="009702EB" w:rsidRDefault="009702EB" w:rsidP="009702EB">
      <w:pPr>
        <w:autoSpaceDE w:val="0"/>
        <w:autoSpaceDN w:val="0"/>
        <w:adjustRightInd w:val="0"/>
        <w:ind w:left="0"/>
        <w:rPr>
          <w:color w:val="000000"/>
        </w:rPr>
      </w:pPr>
      <w:r w:rsidRPr="009702EB">
        <w:rPr>
          <w:color w:val="000000"/>
        </w:rPr>
        <w:t xml:space="preserve">Complicaciones poco comunes pueden ser abscesos </w:t>
      </w:r>
      <w:r w:rsidR="004E3C3B" w:rsidRPr="009702EB">
        <w:rPr>
          <w:color w:val="000000"/>
        </w:rPr>
        <w:t>retro faríngeos</w:t>
      </w:r>
      <w:r w:rsidR="008345E6">
        <w:rPr>
          <w:color w:val="000000"/>
        </w:rPr>
        <w:t xml:space="preserve"> </w:t>
      </w:r>
      <w:proofErr w:type="spellStart"/>
      <w:r w:rsidRPr="009702EB">
        <w:rPr>
          <w:color w:val="000000"/>
        </w:rPr>
        <w:t>ó</w:t>
      </w:r>
      <w:proofErr w:type="spellEnd"/>
      <w:r w:rsidR="008345E6">
        <w:rPr>
          <w:color w:val="000000"/>
        </w:rPr>
        <w:t xml:space="preserve"> </w:t>
      </w:r>
      <w:r w:rsidR="004E3C3B" w:rsidRPr="009702EB">
        <w:rPr>
          <w:color w:val="000000"/>
        </w:rPr>
        <w:t>retro esofágicos</w:t>
      </w:r>
      <w:r w:rsidRPr="009702EB">
        <w:rPr>
          <w:color w:val="000000"/>
        </w:rPr>
        <w:t xml:space="preserve">. </w:t>
      </w:r>
      <w:r w:rsidRPr="009026F4">
        <w:rPr>
          <w:color w:val="000000"/>
          <w:vertAlign w:val="superscript"/>
        </w:rPr>
        <w:t>8</w:t>
      </w:r>
    </w:p>
    <w:p w:rsidR="009702EB" w:rsidRPr="009702EB" w:rsidRDefault="009702EB" w:rsidP="00161903">
      <w:pPr>
        <w:autoSpaceDE w:val="0"/>
        <w:autoSpaceDN w:val="0"/>
        <w:adjustRightInd w:val="0"/>
        <w:ind w:left="0"/>
        <w:rPr>
          <w:color w:val="000000"/>
        </w:rPr>
      </w:pPr>
      <w:r w:rsidRPr="009702EB">
        <w:rPr>
          <w:color w:val="000000"/>
        </w:rPr>
        <w:t xml:space="preserve">La observancia de una correcta desinfección es primordial para evitar estas complicaciones. </w:t>
      </w:r>
      <w:r w:rsidR="00077E8C">
        <w:rPr>
          <w:color w:val="000000"/>
          <w:vertAlign w:val="superscript"/>
        </w:rPr>
        <w:t xml:space="preserve">9, </w:t>
      </w:r>
      <w:r w:rsidRPr="009026F4">
        <w:rPr>
          <w:color w:val="000000"/>
          <w:vertAlign w:val="superscript"/>
        </w:rPr>
        <w:t>10</w:t>
      </w:r>
    </w:p>
    <w:p w:rsidR="00161903" w:rsidRDefault="00161903" w:rsidP="00161903">
      <w:pPr>
        <w:autoSpaceDE w:val="0"/>
        <w:autoSpaceDN w:val="0"/>
        <w:adjustRightInd w:val="0"/>
        <w:ind w:left="0"/>
        <w:rPr>
          <w:b/>
          <w:bCs/>
          <w:color w:val="000000"/>
        </w:rPr>
      </w:pPr>
    </w:p>
    <w:p w:rsidR="009702EB" w:rsidRPr="009702EB" w:rsidRDefault="009702EB" w:rsidP="00161903">
      <w:pPr>
        <w:autoSpaceDE w:val="0"/>
        <w:autoSpaceDN w:val="0"/>
        <w:adjustRightInd w:val="0"/>
        <w:ind w:left="0"/>
        <w:rPr>
          <w:b/>
          <w:bCs/>
          <w:color w:val="000000"/>
        </w:rPr>
      </w:pPr>
      <w:r w:rsidRPr="009702EB">
        <w:rPr>
          <w:b/>
          <w:bCs/>
          <w:color w:val="000000"/>
        </w:rPr>
        <w:t>PERFORACION</w:t>
      </w:r>
    </w:p>
    <w:p w:rsidR="009702EB" w:rsidRPr="009702EB" w:rsidRDefault="009702EB" w:rsidP="00161903">
      <w:pPr>
        <w:autoSpaceDE w:val="0"/>
        <w:autoSpaceDN w:val="0"/>
        <w:adjustRightInd w:val="0"/>
        <w:ind w:left="0"/>
        <w:rPr>
          <w:color w:val="000000"/>
        </w:rPr>
      </w:pPr>
      <w:r w:rsidRPr="009702EB">
        <w:rPr>
          <w:color w:val="000000"/>
        </w:rPr>
        <w:t xml:space="preserve">La perforación relacionada a procedimientos diagnósticos es baja, algunos reportes la sitúan enel 0.03 %, con una mortalidad del 0.001 %. </w:t>
      </w:r>
      <w:r w:rsidR="00077E8C">
        <w:rPr>
          <w:color w:val="000000"/>
          <w:vertAlign w:val="superscript"/>
        </w:rPr>
        <w:t xml:space="preserve">2, </w:t>
      </w:r>
      <w:r w:rsidRPr="009026F4">
        <w:rPr>
          <w:color w:val="000000"/>
          <w:vertAlign w:val="superscript"/>
        </w:rPr>
        <w:t>6</w:t>
      </w:r>
    </w:p>
    <w:p w:rsidR="009702EB" w:rsidRPr="009702EB" w:rsidRDefault="009702EB" w:rsidP="00161903">
      <w:pPr>
        <w:autoSpaceDE w:val="0"/>
        <w:autoSpaceDN w:val="0"/>
        <w:adjustRightInd w:val="0"/>
        <w:ind w:left="0"/>
        <w:rPr>
          <w:color w:val="000000"/>
        </w:rPr>
      </w:pPr>
      <w:r w:rsidRPr="009702EB">
        <w:rPr>
          <w:color w:val="000000"/>
        </w:rPr>
        <w:t xml:space="preserve">Los factores predisponentes incluyen ser portador de un divertículo de </w:t>
      </w:r>
      <w:proofErr w:type="spellStart"/>
      <w:r w:rsidRPr="009702EB">
        <w:rPr>
          <w:color w:val="000000"/>
        </w:rPr>
        <w:t>Zenker</w:t>
      </w:r>
      <w:proofErr w:type="spellEnd"/>
      <w:r w:rsidRPr="009702EB">
        <w:rPr>
          <w:color w:val="000000"/>
        </w:rPr>
        <w:t>, estructuras</w:t>
      </w:r>
      <w:r w:rsidR="008345E6">
        <w:rPr>
          <w:color w:val="000000"/>
        </w:rPr>
        <w:t xml:space="preserve"> </w:t>
      </w:r>
      <w:r w:rsidRPr="009702EB">
        <w:rPr>
          <w:color w:val="000000"/>
        </w:rPr>
        <w:t>esofágicas y cánceres; la mortalidad de esta complicación es relativamente alta y se sitúa en</w:t>
      </w:r>
      <w:r w:rsidR="008345E6">
        <w:rPr>
          <w:color w:val="000000"/>
        </w:rPr>
        <w:t xml:space="preserve"> </w:t>
      </w:r>
      <w:r w:rsidRPr="009702EB">
        <w:rPr>
          <w:color w:val="000000"/>
        </w:rPr>
        <w:t xml:space="preserve">alrededor del 25 %. </w:t>
      </w:r>
      <w:r w:rsidRPr="009026F4">
        <w:rPr>
          <w:color w:val="000000"/>
          <w:vertAlign w:val="superscript"/>
        </w:rPr>
        <w:t>2</w:t>
      </w:r>
    </w:p>
    <w:p w:rsidR="009702EB" w:rsidRPr="009702EB" w:rsidRDefault="009702EB" w:rsidP="00161903">
      <w:pPr>
        <w:autoSpaceDE w:val="0"/>
        <w:autoSpaceDN w:val="0"/>
        <w:adjustRightInd w:val="0"/>
        <w:ind w:left="0"/>
        <w:rPr>
          <w:color w:val="000000"/>
        </w:rPr>
      </w:pPr>
      <w:r w:rsidRPr="009702EB">
        <w:rPr>
          <w:color w:val="000000"/>
        </w:rPr>
        <w:t xml:space="preserve">Es muy importante sospechar y reconocer esta complicación, en primer lugar </w:t>
      </w:r>
      <w:proofErr w:type="gramStart"/>
      <w:r w:rsidRPr="009702EB">
        <w:rPr>
          <w:color w:val="000000"/>
        </w:rPr>
        <w:t>clínicamente(</w:t>
      </w:r>
      <w:proofErr w:type="gramEnd"/>
      <w:r w:rsidRPr="009702EB">
        <w:rPr>
          <w:color w:val="000000"/>
        </w:rPr>
        <w:t xml:space="preserve">fiebre, </w:t>
      </w:r>
      <w:proofErr w:type="spellStart"/>
      <w:r w:rsidRPr="009702EB">
        <w:rPr>
          <w:color w:val="000000"/>
        </w:rPr>
        <w:t>crepitancia</w:t>
      </w:r>
      <w:proofErr w:type="spellEnd"/>
      <w:r w:rsidRPr="009702EB">
        <w:rPr>
          <w:color w:val="000000"/>
        </w:rPr>
        <w:t xml:space="preserve">, dolor </w:t>
      </w:r>
      <w:r w:rsidR="004E3C3B" w:rsidRPr="009702EB">
        <w:rPr>
          <w:color w:val="000000"/>
        </w:rPr>
        <w:t>torácico</w:t>
      </w:r>
      <w:r w:rsidR="008345E6">
        <w:rPr>
          <w:color w:val="000000"/>
        </w:rPr>
        <w:t xml:space="preserve"> </w:t>
      </w:r>
      <w:r w:rsidR="004E3C3B" w:rsidRPr="009702EB">
        <w:rPr>
          <w:color w:val="000000"/>
        </w:rPr>
        <w:t>o</w:t>
      </w:r>
      <w:r w:rsidRPr="009702EB">
        <w:rPr>
          <w:color w:val="000000"/>
        </w:rPr>
        <w:t xml:space="preserve"> pleural, etc.) deben realizarse ante esta presunción los</w:t>
      </w:r>
      <w:r w:rsidR="008345E6">
        <w:rPr>
          <w:color w:val="000000"/>
        </w:rPr>
        <w:t xml:space="preserve"> </w:t>
      </w:r>
      <w:r w:rsidRPr="009702EB">
        <w:rPr>
          <w:color w:val="000000"/>
        </w:rPr>
        <w:t>exámenes correspondientes para detectarla (</w:t>
      </w:r>
      <w:proofErr w:type="spellStart"/>
      <w:r w:rsidRPr="009702EB">
        <w:rPr>
          <w:color w:val="000000"/>
        </w:rPr>
        <w:t>Rx</w:t>
      </w:r>
      <w:proofErr w:type="spellEnd"/>
      <w:r w:rsidRPr="009702EB">
        <w:rPr>
          <w:color w:val="000000"/>
        </w:rPr>
        <w:t>, TAC, etc.) sobre todo teniendo en cuenta que</w:t>
      </w:r>
      <w:r w:rsidR="008345E6">
        <w:rPr>
          <w:color w:val="000000"/>
        </w:rPr>
        <w:t xml:space="preserve"> </w:t>
      </w:r>
      <w:r w:rsidRPr="009702EB">
        <w:rPr>
          <w:color w:val="000000"/>
        </w:rPr>
        <w:t>individualizar el sitio de la perforación es de vital importancia para la decisión sobre su</w:t>
      </w:r>
      <w:r w:rsidR="008345E6">
        <w:rPr>
          <w:color w:val="000000"/>
        </w:rPr>
        <w:t xml:space="preserve"> </w:t>
      </w:r>
      <w:r w:rsidRPr="009702EB">
        <w:rPr>
          <w:color w:val="000000"/>
        </w:rPr>
        <w:t>tratamiento posterior.</w:t>
      </w:r>
    </w:p>
    <w:p w:rsidR="009702EB" w:rsidRPr="009702EB" w:rsidRDefault="009702EB" w:rsidP="00161903">
      <w:pPr>
        <w:autoSpaceDE w:val="0"/>
        <w:autoSpaceDN w:val="0"/>
        <w:adjustRightInd w:val="0"/>
        <w:ind w:left="0"/>
        <w:rPr>
          <w:color w:val="000000"/>
        </w:rPr>
      </w:pPr>
      <w:r w:rsidRPr="009702EB">
        <w:rPr>
          <w:color w:val="000000"/>
        </w:rPr>
        <w:t>Asimismo es de suma importancia trabajar en todo momento en estrecha colaboración con el</w:t>
      </w:r>
      <w:r w:rsidR="00C8515A">
        <w:rPr>
          <w:color w:val="000000"/>
        </w:rPr>
        <w:t xml:space="preserve"> </w:t>
      </w:r>
      <w:r w:rsidRPr="009702EB">
        <w:rPr>
          <w:color w:val="000000"/>
        </w:rPr>
        <w:t xml:space="preserve">equipo quirúrgico. </w:t>
      </w:r>
      <w:r w:rsidR="00077E8C">
        <w:rPr>
          <w:color w:val="000000"/>
          <w:vertAlign w:val="superscript"/>
        </w:rPr>
        <w:t>2, 1</w:t>
      </w:r>
      <w:r w:rsidRPr="009026F4">
        <w:rPr>
          <w:color w:val="000000"/>
          <w:vertAlign w:val="superscript"/>
        </w:rPr>
        <w:t>1</w:t>
      </w:r>
    </w:p>
    <w:p w:rsidR="00161903" w:rsidRDefault="00161903" w:rsidP="00161903">
      <w:pPr>
        <w:autoSpaceDE w:val="0"/>
        <w:autoSpaceDN w:val="0"/>
        <w:adjustRightInd w:val="0"/>
        <w:ind w:left="0"/>
        <w:rPr>
          <w:b/>
          <w:color w:val="000000"/>
        </w:rPr>
      </w:pPr>
    </w:p>
    <w:p w:rsidR="009702EB" w:rsidRPr="00161903" w:rsidRDefault="009702EB" w:rsidP="00161903">
      <w:pPr>
        <w:autoSpaceDE w:val="0"/>
        <w:autoSpaceDN w:val="0"/>
        <w:adjustRightInd w:val="0"/>
        <w:ind w:left="0"/>
        <w:rPr>
          <w:b/>
          <w:color w:val="000000"/>
        </w:rPr>
      </w:pPr>
      <w:r w:rsidRPr="00161903">
        <w:rPr>
          <w:b/>
          <w:color w:val="000000"/>
        </w:rPr>
        <w:t>HEMORRAGIA</w:t>
      </w:r>
    </w:p>
    <w:p w:rsidR="009702EB" w:rsidRPr="009702EB" w:rsidRDefault="009702EB" w:rsidP="00161903">
      <w:pPr>
        <w:autoSpaceDE w:val="0"/>
        <w:autoSpaceDN w:val="0"/>
        <w:adjustRightInd w:val="0"/>
        <w:ind w:left="0"/>
        <w:rPr>
          <w:color w:val="000000"/>
        </w:rPr>
      </w:pPr>
      <w:r w:rsidRPr="009702EB">
        <w:rPr>
          <w:color w:val="000000"/>
        </w:rPr>
        <w:t>Las hemorragias importantes son una rara complicación de la EDA.</w:t>
      </w:r>
    </w:p>
    <w:p w:rsidR="009702EB" w:rsidRDefault="009702EB" w:rsidP="00161903">
      <w:pPr>
        <w:autoSpaceDE w:val="0"/>
        <w:autoSpaceDN w:val="0"/>
        <w:adjustRightInd w:val="0"/>
        <w:ind w:left="0"/>
        <w:rPr>
          <w:color w:val="000000"/>
        </w:rPr>
      </w:pPr>
      <w:r w:rsidRPr="009702EB">
        <w:rPr>
          <w:color w:val="000000"/>
        </w:rPr>
        <w:t>Hay que ser muy cuidadosos en las tomas de biopsia en pacientes con menos de 20.000</w:t>
      </w:r>
      <w:r w:rsidR="00C8515A">
        <w:rPr>
          <w:color w:val="000000"/>
        </w:rPr>
        <w:t xml:space="preserve"> </w:t>
      </w:r>
      <w:r w:rsidRPr="009702EB">
        <w:rPr>
          <w:color w:val="000000"/>
        </w:rPr>
        <w:t>plaquetas.</w:t>
      </w:r>
    </w:p>
    <w:p w:rsidR="00161903" w:rsidRPr="009702EB" w:rsidRDefault="00161903" w:rsidP="00161903">
      <w:pPr>
        <w:autoSpaceDE w:val="0"/>
        <w:autoSpaceDN w:val="0"/>
        <w:adjustRightInd w:val="0"/>
        <w:ind w:left="0"/>
        <w:rPr>
          <w:color w:val="000000"/>
        </w:rPr>
      </w:pPr>
    </w:p>
    <w:p w:rsidR="009702EB" w:rsidRPr="009702EB" w:rsidRDefault="009702EB" w:rsidP="00161903">
      <w:pPr>
        <w:autoSpaceDE w:val="0"/>
        <w:autoSpaceDN w:val="0"/>
        <w:adjustRightInd w:val="0"/>
        <w:ind w:left="0"/>
        <w:rPr>
          <w:color w:val="000000"/>
        </w:rPr>
      </w:pPr>
      <w:r w:rsidRPr="009702EB">
        <w:rPr>
          <w:color w:val="000000"/>
        </w:rPr>
        <w:t xml:space="preserve">Ocasionalmente un </w:t>
      </w:r>
      <w:proofErr w:type="spellStart"/>
      <w:r w:rsidRPr="009702EB">
        <w:rPr>
          <w:color w:val="000000"/>
        </w:rPr>
        <w:t>Mallory-Weiss</w:t>
      </w:r>
      <w:proofErr w:type="spellEnd"/>
      <w:r w:rsidRPr="009702EB">
        <w:rPr>
          <w:color w:val="000000"/>
        </w:rPr>
        <w:t xml:space="preserve"> puede ocurrir en una EDA diagnóstica pero habitualmente</w:t>
      </w:r>
      <w:r w:rsidR="00C8515A">
        <w:rPr>
          <w:color w:val="000000"/>
        </w:rPr>
        <w:t xml:space="preserve"> </w:t>
      </w:r>
      <w:r w:rsidRPr="009702EB">
        <w:rPr>
          <w:color w:val="000000"/>
        </w:rPr>
        <w:t xml:space="preserve">no se asocia con un sangrado significativo. </w:t>
      </w:r>
      <w:r w:rsidRPr="007074F0">
        <w:rPr>
          <w:color w:val="000000"/>
          <w:vertAlign w:val="superscript"/>
        </w:rPr>
        <w:t>2</w:t>
      </w:r>
    </w:p>
    <w:p w:rsidR="0055665C" w:rsidRPr="001337E6" w:rsidRDefault="0055665C" w:rsidP="001337E6">
      <w:pPr>
        <w:autoSpaceDE w:val="0"/>
        <w:autoSpaceDN w:val="0"/>
        <w:adjustRightInd w:val="0"/>
        <w:ind w:left="0"/>
      </w:pPr>
    </w:p>
    <w:p w:rsidR="000A2C6C" w:rsidRDefault="005B5008" w:rsidP="002410CE">
      <w:pPr>
        <w:ind w:left="0"/>
        <w:rPr>
          <w:b/>
        </w:rPr>
      </w:pPr>
      <w:r>
        <w:rPr>
          <w:b/>
        </w:rPr>
        <w:t xml:space="preserve">4.3 </w:t>
      </w:r>
      <w:r w:rsidR="007074F0" w:rsidRPr="007074F0">
        <w:rPr>
          <w:b/>
        </w:rPr>
        <w:t>Escala UNAL</w:t>
      </w:r>
    </w:p>
    <w:p w:rsidR="007074F0" w:rsidRDefault="007D6A21" w:rsidP="002410CE">
      <w:pPr>
        <w:ind w:left="0"/>
      </w:pPr>
      <w:r>
        <w:t>E</w:t>
      </w:r>
      <w:r w:rsidR="007074F0">
        <w:t>sta</w:t>
      </w:r>
      <w:r w:rsidR="00C8515A">
        <w:t xml:space="preserve"> </w:t>
      </w:r>
      <w:r w:rsidR="007074F0">
        <w:t>escala fue diseñada por un grupo de investigación de la Universidad Nacional de Colombia (UNAL)</w:t>
      </w:r>
      <w:r>
        <w:t xml:space="preserve"> en el año 2006,</w:t>
      </w:r>
      <w:r w:rsidR="007074F0">
        <w:t xml:space="preserve"> la cual tuvo una validación interna y una validación externa, detallándose a continuación:</w:t>
      </w:r>
    </w:p>
    <w:p w:rsidR="007074F0" w:rsidRPr="007074F0" w:rsidRDefault="007074F0" w:rsidP="002410CE">
      <w:pPr>
        <w:ind w:left="0"/>
      </w:pPr>
    </w:p>
    <w:p w:rsidR="005B5008" w:rsidRDefault="005B5008" w:rsidP="007074F0">
      <w:pPr>
        <w:autoSpaceDE w:val="0"/>
        <w:autoSpaceDN w:val="0"/>
        <w:adjustRightInd w:val="0"/>
        <w:ind w:left="0"/>
        <w:rPr>
          <w:b/>
          <w:bCs/>
        </w:rPr>
      </w:pPr>
    </w:p>
    <w:p w:rsidR="007074F0" w:rsidRDefault="007074F0" w:rsidP="007074F0">
      <w:pPr>
        <w:autoSpaceDE w:val="0"/>
        <w:autoSpaceDN w:val="0"/>
        <w:adjustRightInd w:val="0"/>
        <w:ind w:left="0"/>
        <w:rPr>
          <w:b/>
          <w:bCs/>
        </w:rPr>
      </w:pPr>
      <w:r w:rsidRPr="007074F0">
        <w:rPr>
          <w:b/>
          <w:bCs/>
        </w:rPr>
        <w:t>Validación interna</w:t>
      </w:r>
    </w:p>
    <w:p w:rsidR="007074F0" w:rsidRPr="007074F0" w:rsidRDefault="007074F0" w:rsidP="007074F0">
      <w:pPr>
        <w:autoSpaceDE w:val="0"/>
        <w:autoSpaceDN w:val="0"/>
        <w:adjustRightInd w:val="0"/>
        <w:ind w:left="0"/>
        <w:rPr>
          <w:b/>
          <w:bCs/>
        </w:rPr>
      </w:pPr>
    </w:p>
    <w:p w:rsidR="007074F0" w:rsidRPr="007074F0" w:rsidRDefault="007074F0" w:rsidP="007074F0">
      <w:pPr>
        <w:autoSpaceDE w:val="0"/>
        <w:autoSpaceDN w:val="0"/>
        <w:adjustRightInd w:val="0"/>
        <w:ind w:left="0"/>
      </w:pPr>
      <w:r w:rsidRPr="007074F0">
        <w:t>Durante un periodo de 18 meses 109 pacientes consecutivos</w:t>
      </w:r>
      <w:r w:rsidR="00C8515A">
        <w:t xml:space="preserve"> </w:t>
      </w:r>
      <w:r w:rsidRPr="007074F0">
        <w:t>con HVDA fueron incluidos en la muestra, el promedio</w:t>
      </w:r>
      <w:r w:rsidR="00C8515A">
        <w:t xml:space="preserve"> </w:t>
      </w:r>
      <w:r w:rsidRPr="007074F0">
        <w:t>de edad fue de 59.3 años (DS+ 19.1; rango18-99) y 76 de</w:t>
      </w:r>
      <w:r w:rsidR="00C8515A">
        <w:t xml:space="preserve"> </w:t>
      </w:r>
      <w:r w:rsidRPr="007074F0">
        <w:t>ellos (69.7%) fueron del sexo masculino. La Tabla 1 muestra</w:t>
      </w:r>
      <w:r w:rsidR="00C8515A">
        <w:t xml:space="preserve"> </w:t>
      </w:r>
      <w:r w:rsidRPr="007074F0">
        <w:t>las características demográficas y los hallazgos clínicos de</w:t>
      </w:r>
      <w:r w:rsidR="00C8515A">
        <w:t xml:space="preserve"> </w:t>
      </w:r>
      <w:r w:rsidRPr="007074F0">
        <w:t>todos los pacientes al momento de su ingreso. Las melenas</w:t>
      </w:r>
      <w:r w:rsidR="00C8515A">
        <w:t xml:space="preserve"> </w:t>
      </w:r>
      <w:r w:rsidRPr="007074F0">
        <w:t>fueron la forma de presentación más frecuente (73.4%) y la</w:t>
      </w:r>
      <w:r w:rsidR="00C8515A">
        <w:t xml:space="preserve"> </w:t>
      </w:r>
      <w:r w:rsidRPr="007074F0">
        <w:t xml:space="preserve">úlcera péptica el hallazgo endoscópico más </w:t>
      </w:r>
      <w:proofErr w:type="gramStart"/>
      <w:r w:rsidRPr="007074F0">
        <w:t>prevalente(</w:t>
      </w:r>
      <w:proofErr w:type="gramEnd"/>
      <w:r w:rsidRPr="007074F0">
        <w:t>58.7%), seguidos por várices esofágicas (6.4%) y síndrome</w:t>
      </w:r>
      <w:r w:rsidR="00C8515A">
        <w:t xml:space="preserve"> </w:t>
      </w:r>
      <w:r w:rsidRPr="007074F0">
        <w:t xml:space="preserve">de </w:t>
      </w:r>
      <w:proofErr w:type="spellStart"/>
      <w:r w:rsidRPr="007074F0">
        <w:t>Mallory</w:t>
      </w:r>
      <w:proofErr w:type="spellEnd"/>
      <w:r w:rsidR="00C8515A">
        <w:t xml:space="preserve"> </w:t>
      </w:r>
      <w:proofErr w:type="spellStart"/>
      <w:r w:rsidRPr="007074F0">
        <w:t>Weiss</w:t>
      </w:r>
      <w:proofErr w:type="spellEnd"/>
      <w:r w:rsidRPr="007074F0">
        <w:t xml:space="preserve"> (6.4%). El 71% (15 pacientes) de los 23</w:t>
      </w:r>
      <w:r w:rsidR="00C8515A">
        <w:t xml:space="preserve"> </w:t>
      </w:r>
      <w:r w:rsidRPr="007074F0">
        <w:t>pacientes con sangrado activo tuvieron como causa la úlcera</w:t>
      </w:r>
      <w:r w:rsidR="00C8515A">
        <w:t xml:space="preserve"> </w:t>
      </w:r>
      <w:r w:rsidRPr="007074F0">
        <w:t>péptica. La descripción de los hallazgos endoscópicos se</w:t>
      </w:r>
      <w:r w:rsidR="00C84828">
        <w:t xml:space="preserve"> </w:t>
      </w:r>
      <w:r w:rsidRPr="007074F0">
        <w:t>presenta en la Tabla 2. Durante la hospitalización seis (5.5%</w:t>
      </w:r>
      <w:proofErr w:type="gramStart"/>
      <w:r w:rsidRPr="007074F0">
        <w:t>)pacientes</w:t>
      </w:r>
      <w:proofErr w:type="gramEnd"/>
      <w:r w:rsidRPr="007074F0">
        <w:t xml:space="preserve"> presentaron </w:t>
      </w:r>
      <w:r w:rsidR="004E3C3B" w:rsidRPr="007074F0">
        <w:t>re sangrado</w:t>
      </w:r>
      <w:r w:rsidRPr="007074F0">
        <w:t xml:space="preserve"> de los cuales uno (0.9%)falleció y en los cinco restantes una nueva terapia endoscópica</w:t>
      </w:r>
      <w:r w:rsidR="00C84828">
        <w:t xml:space="preserve"> </w:t>
      </w:r>
      <w:r w:rsidRPr="007074F0">
        <w:t>logró controlar la hemorragia, sin recidiva.</w:t>
      </w:r>
    </w:p>
    <w:p w:rsidR="007074F0" w:rsidRPr="007074F0" w:rsidRDefault="007074F0" w:rsidP="007074F0">
      <w:pPr>
        <w:autoSpaceDE w:val="0"/>
        <w:autoSpaceDN w:val="0"/>
        <w:adjustRightInd w:val="0"/>
        <w:ind w:left="0"/>
      </w:pPr>
      <w:r w:rsidRPr="007074F0">
        <w:t xml:space="preserve">El análisis </w:t>
      </w:r>
      <w:proofErr w:type="spellStart"/>
      <w:r w:rsidRPr="007074F0">
        <w:t>univariado</w:t>
      </w:r>
      <w:proofErr w:type="spellEnd"/>
      <w:r w:rsidRPr="007074F0">
        <w:t xml:space="preserve"> de las 22 variables exploradas</w:t>
      </w:r>
      <w:r w:rsidR="00C84828">
        <w:t xml:space="preserve"> </w:t>
      </w:r>
      <w:r w:rsidRPr="007074F0">
        <w:t>encontró que las siguientes nueve fueron significativas (P&lt;0.05): hematemesis como signo de presentación, historia</w:t>
      </w:r>
      <w:r w:rsidR="00C84828">
        <w:t xml:space="preserve"> </w:t>
      </w:r>
      <w:r w:rsidRPr="007074F0">
        <w:t>de lipotimia al inicio del cuadro, shock, palidez, inestabilidad</w:t>
      </w:r>
      <w:r w:rsidR="00C84828">
        <w:t xml:space="preserve"> </w:t>
      </w:r>
      <w:r w:rsidRPr="007074F0">
        <w:t>hemodinámica, hemoglobina (</w:t>
      </w:r>
      <w:proofErr w:type="spellStart"/>
      <w:r w:rsidRPr="007074F0">
        <w:t>Hb</w:t>
      </w:r>
      <w:proofErr w:type="spellEnd"/>
      <w:r w:rsidRPr="007074F0">
        <w:t>) &lt; 8 gr/</w:t>
      </w:r>
      <w:proofErr w:type="spellStart"/>
      <w:r w:rsidRPr="007074F0">
        <w:t>dL</w:t>
      </w:r>
      <w:proofErr w:type="spellEnd"/>
      <w:r w:rsidRPr="007074F0">
        <w:t>, leucocitos&gt; 12.000 /mm3, sangre positiva en el aspirado nasogástrico</w:t>
      </w:r>
      <w:r w:rsidR="00C84828">
        <w:t xml:space="preserve"> </w:t>
      </w:r>
      <w:r w:rsidRPr="007074F0">
        <w:t xml:space="preserve">y </w:t>
      </w:r>
      <w:r>
        <w:t>edad mayor de 65 años.</w:t>
      </w:r>
    </w:p>
    <w:p w:rsidR="007074F0" w:rsidRPr="007074F0" w:rsidRDefault="007074F0" w:rsidP="007074F0">
      <w:pPr>
        <w:autoSpaceDE w:val="0"/>
        <w:autoSpaceDN w:val="0"/>
        <w:adjustRightInd w:val="0"/>
        <w:ind w:left="0"/>
      </w:pPr>
      <w:r w:rsidRPr="007074F0">
        <w:t>Con estas variables se realizó un análisis de regresión</w:t>
      </w:r>
      <w:r w:rsidR="00C84828">
        <w:t xml:space="preserve"> </w:t>
      </w:r>
      <w:r w:rsidRPr="007074F0">
        <w:t>logística con la intención de identificar aquellas que tuvieran</w:t>
      </w:r>
      <w:r w:rsidR="00C84828">
        <w:t xml:space="preserve"> </w:t>
      </w:r>
      <w:r w:rsidRPr="007074F0">
        <w:t>correlación con la presencia de sangrado activo. El</w:t>
      </w:r>
      <w:r w:rsidR="00C84828">
        <w:t xml:space="preserve"> </w:t>
      </w:r>
      <w:r w:rsidRPr="007074F0">
        <w:t>modelo de regresión identificó seis variables fuertemente</w:t>
      </w:r>
      <w:r w:rsidR="00AD2306">
        <w:t xml:space="preserve"> r</w:t>
      </w:r>
      <w:r w:rsidRPr="007074F0">
        <w:t xml:space="preserve">elacionadascon la presencia de sangrado: lipotimia, </w:t>
      </w:r>
      <w:proofErr w:type="spellStart"/>
      <w:r w:rsidRPr="007074F0">
        <w:t>Hb</w:t>
      </w:r>
      <w:proofErr w:type="spellEnd"/>
      <w:r w:rsidRPr="007074F0">
        <w:t>&lt;8, leucocitos &gt; 12.000/mm3, sangre presente en el aspirado</w:t>
      </w:r>
      <w:r w:rsidR="00C84828">
        <w:t xml:space="preserve"> </w:t>
      </w:r>
      <w:r w:rsidRPr="007074F0">
        <w:t xml:space="preserve">gástrico, inestabilidad hemodinámica </w:t>
      </w:r>
      <w:r w:rsidR="00AD2306">
        <w:t>y edad mayor de 65</w:t>
      </w:r>
      <w:r>
        <w:t xml:space="preserve"> años</w:t>
      </w:r>
      <w:r w:rsidRPr="007074F0">
        <w:t>.</w:t>
      </w:r>
    </w:p>
    <w:p w:rsidR="007074F0" w:rsidRPr="007074F0" w:rsidRDefault="007074F0" w:rsidP="007074F0">
      <w:pPr>
        <w:autoSpaceDE w:val="0"/>
        <w:autoSpaceDN w:val="0"/>
        <w:adjustRightInd w:val="0"/>
        <w:ind w:left="0"/>
      </w:pPr>
      <w:r w:rsidRPr="007074F0">
        <w:t>Estas seis variables fueron tomadas como base para la</w:t>
      </w:r>
      <w:r w:rsidR="00C84828">
        <w:t xml:space="preserve"> </w:t>
      </w:r>
      <w:r w:rsidRPr="007074F0">
        <w:t>predicción de</w:t>
      </w:r>
      <w:r w:rsidR="00C84828">
        <w:t xml:space="preserve"> </w:t>
      </w:r>
      <w:r w:rsidRPr="007074F0">
        <w:t>sangrado activo al momento de la endoscopia</w:t>
      </w:r>
      <w:r w:rsidR="00C84828">
        <w:t xml:space="preserve"> </w:t>
      </w:r>
      <w:r w:rsidRPr="007074F0">
        <w:t>inicial, hay una tendencia a</w:t>
      </w:r>
      <w:r w:rsidR="00C84828">
        <w:t xml:space="preserve"> </w:t>
      </w:r>
      <w:r w:rsidRPr="007074F0">
        <w:t>tener mayor probabilidad de sangrado en la medida en que</w:t>
      </w:r>
      <w:r w:rsidR="00C84828">
        <w:t xml:space="preserve"> </w:t>
      </w:r>
      <w:r w:rsidRPr="007074F0">
        <w:t>se tengan más variables así: sólo 4.8% de los pacientes con</w:t>
      </w:r>
      <w:r w:rsidR="00C84828">
        <w:t xml:space="preserve"> </w:t>
      </w:r>
      <w:r w:rsidRPr="007074F0">
        <w:t>una variable presente están sangrando al momento de la</w:t>
      </w:r>
      <w:r w:rsidR="00C84828">
        <w:t xml:space="preserve"> </w:t>
      </w:r>
      <w:r w:rsidRPr="007074F0">
        <w:t>endoscopia mientras que 75% de los que presenten cinco y</w:t>
      </w:r>
      <w:r w:rsidR="00C84828">
        <w:t xml:space="preserve"> </w:t>
      </w:r>
      <w:r w:rsidRPr="007074F0">
        <w:t>el 100% de los que presenten seis variables están con</w:t>
      </w:r>
      <w:r w:rsidR="00C84828">
        <w:t xml:space="preserve"> </w:t>
      </w:r>
      <w:r w:rsidRPr="007074F0">
        <w:t>sangrado activo.</w:t>
      </w:r>
    </w:p>
    <w:p w:rsidR="007074F0" w:rsidRDefault="007074F0" w:rsidP="007074F0">
      <w:pPr>
        <w:autoSpaceDE w:val="0"/>
        <w:autoSpaceDN w:val="0"/>
        <w:adjustRightInd w:val="0"/>
        <w:ind w:left="0"/>
        <w:rPr>
          <w:b/>
        </w:rPr>
      </w:pPr>
      <w:r w:rsidRPr="007074F0">
        <w:t>Los coeficientes de las seis variables fueron divididos</w:t>
      </w:r>
      <w:r w:rsidR="00C84828">
        <w:t xml:space="preserve"> </w:t>
      </w:r>
      <w:r w:rsidRPr="007074F0">
        <w:t>por cinco y redondeados al número entero más cercano</w:t>
      </w:r>
      <w:r w:rsidR="00C84828">
        <w:t xml:space="preserve"> </w:t>
      </w:r>
      <w:r w:rsidRPr="007074F0">
        <w:t>para diseñar así una escala integrada que permitiera dar un</w:t>
      </w:r>
      <w:r w:rsidR="00C84828">
        <w:t xml:space="preserve"> </w:t>
      </w:r>
      <w:r w:rsidRPr="007074F0">
        <w:t>valor a cada variable de acuerdo con el peso que cada una</w:t>
      </w:r>
      <w:r w:rsidR="00C84828">
        <w:t xml:space="preserve"> </w:t>
      </w:r>
      <w:r w:rsidRPr="007074F0">
        <w:t>de ellos tuviera con la variable de desenlace (sangrado</w:t>
      </w:r>
      <w:r w:rsidR="00C84828">
        <w:t xml:space="preserve"> </w:t>
      </w:r>
      <w:r w:rsidRPr="007074F0">
        <w:t>activo). La escala se presen</w:t>
      </w:r>
      <w:r>
        <w:t xml:space="preserve">ta en la </w:t>
      </w:r>
      <w:r w:rsidRPr="00134589">
        <w:rPr>
          <w:b/>
        </w:rPr>
        <w:t>Tabla 1</w:t>
      </w:r>
      <w:r w:rsidR="00134589">
        <w:rPr>
          <w:b/>
        </w:rPr>
        <w:t>.</w:t>
      </w:r>
    </w:p>
    <w:p w:rsidR="00467A32" w:rsidRPr="007074F0" w:rsidRDefault="00467A32" w:rsidP="007074F0">
      <w:pPr>
        <w:autoSpaceDE w:val="0"/>
        <w:autoSpaceDN w:val="0"/>
        <w:adjustRightInd w:val="0"/>
        <w:ind w:left="0"/>
      </w:pPr>
    </w:p>
    <w:p w:rsidR="00DE22E7" w:rsidRDefault="00134589" w:rsidP="00DE22E7">
      <w:pPr>
        <w:autoSpaceDE w:val="0"/>
        <w:autoSpaceDN w:val="0"/>
        <w:adjustRightInd w:val="0"/>
        <w:ind w:left="0"/>
      </w:pPr>
      <w:r w:rsidRPr="007074F0">
        <w:t>S</w:t>
      </w:r>
      <w:r w:rsidR="007074F0" w:rsidRPr="007074F0">
        <w:t>e</w:t>
      </w:r>
      <w:r w:rsidR="00AC5EA1">
        <w:t xml:space="preserve"> </w:t>
      </w:r>
      <w:r w:rsidR="007074F0" w:rsidRPr="007074F0">
        <w:t>observa que esta escala tiene una</w:t>
      </w:r>
      <w:r w:rsidR="00AC5EA1">
        <w:t xml:space="preserve"> </w:t>
      </w:r>
      <w:r w:rsidR="007074F0" w:rsidRPr="007074F0">
        <w:t>adecuada capacidad de discriminación entre los pacientes</w:t>
      </w:r>
      <w:r w:rsidR="00AC5EA1">
        <w:t xml:space="preserve"> </w:t>
      </w:r>
      <w:r w:rsidR="007074F0" w:rsidRPr="007074F0">
        <w:t>con y sin sangrado activo. De acuerdo con esta clasificación</w:t>
      </w:r>
      <w:r w:rsidR="00AC5EA1">
        <w:t xml:space="preserve"> </w:t>
      </w:r>
      <w:r w:rsidR="007074F0" w:rsidRPr="007074F0">
        <w:t>sólo uno (1.6%) con puntuación 0 a 3, considerados de</w:t>
      </w:r>
      <w:r w:rsidR="00AC5EA1">
        <w:t xml:space="preserve"> </w:t>
      </w:r>
      <w:r w:rsidR="007074F0" w:rsidRPr="007074F0">
        <w:t xml:space="preserve">bajo riesgo, tuvieron </w:t>
      </w:r>
      <w:r w:rsidR="007074F0" w:rsidRPr="007074F0">
        <w:lastRenderedPageBreak/>
        <w:t xml:space="preserve">sangrado activo. En contraste </w:t>
      </w:r>
      <w:proofErr w:type="gramStart"/>
      <w:r w:rsidR="007074F0" w:rsidRPr="007074F0">
        <w:t>ocho</w:t>
      </w:r>
      <w:r w:rsidR="00DE22E7" w:rsidRPr="00DE22E7">
        <w:t>(</w:t>
      </w:r>
      <w:proofErr w:type="gramEnd"/>
      <w:r w:rsidR="00DE22E7" w:rsidRPr="00DE22E7">
        <w:t>80%) de los diez pacientes con puntuación de 11 a 18</w:t>
      </w:r>
      <w:r w:rsidR="00AC5EA1">
        <w:t xml:space="preserve"> </w:t>
      </w:r>
      <w:r w:rsidR="00DE22E7" w:rsidRPr="00DE22E7">
        <w:t>presentaban sangrado al momento de la endoscopia.</w:t>
      </w:r>
    </w:p>
    <w:p w:rsidR="00DE22E7" w:rsidRPr="00DE22E7" w:rsidRDefault="00DE22E7" w:rsidP="00DE22E7">
      <w:pPr>
        <w:autoSpaceDE w:val="0"/>
        <w:autoSpaceDN w:val="0"/>
        <w:adjustRightInd w:val="0"/>
        <w:ind w:left="0"/>
      </w:pPr>
    </w:p>
    <w:p w:rsidR="00467A32" w:rsidRDefault="00467A32" w:rsidP="00467A32">
      <w:pPr>
        <w:autoSpaceDE w:val="0"/>
        <w:autoSpaceDN w:val="0"/>
        <w:adjustRightInd w:val="0"/>
        <w:ind w:left="0"/>
        <w:rPr>
          <w:i/>
          <w:iCs/>
        </w:rPr>
      </w:pPr>
      <w:r w:rsidRPr="00DE22E7">
        <w:rPr>
          <w:b/>
          <w:bCs/>
        </w:rPr>
        <w:t>Tab</w:t>
      </w:r>
      <w:r>
        <w:rPr>
          <w:b/>
          <w:bCs/>
        </w:rPr>
        <w:t>la 1</w:t>
      </w:r>
      <w:r w:rsidRPr="00DE22E7">
        <w:rPr>
          <w:b/>
          <w:bCs/>
        </w:rPr>
        <w:t xml:space="preserve">. </w:t>
      </w:r>
      <w:r w:rsidRPr="00DE22E7">
        <w:rPr>
          <w:i/>
          <w:iCs/>
        </w:rPr>
        <w:t>Escala de puntuación con los factores de riesgo para pacientes con sangrado</w:t>
      </w:r>
      <w:r w:rsidR="00AC5EA1">
        <w:rPr>
          <w:i/>
          <w:iCs/>
        </w:rPr>
        <w:t xml:space="preserve"> </w:t>
      </w:r>
      <w:r w:rsidRPr="00DE22E7">
        <w:rPr>
          <w:i/>
          <w:iCs/>
        </w:rPr>
        <w:t>activo. Estudio de validación interna</w:t>
      </w:r>
    </w:p>
    <w:p w:rsidR="00467A32" w:rsidRPr="00DE22E7" w:rsidRDefault="00467A32" w:rsidP="00467A32">
      <w:pPr>
        <w:autoSpaceDE w:val="0"/>
        <w:autoSpaceDN w:val="0"/>
        <w:adjustRightInd w:val="0"/>
        <w:ind w:left="0"/>
      </w:pPr>
    </w:p>
    <w:tbl>
      <w:tblPr>
        <w:tblStyle w:val="TableGrid"/>
        <w:tblW w:w="0" w:type="auto"/>
        <w:tblInd w:w="534" w:type="dxa"/>
        <w:tblLook w:val="04A0" w:firstRow="1" w:lastRow="0" w:firstColumn="1" w:lastColumn="0" w:noHBand="0" w:noVBand="1"/>
      </w:tblPr>
      <w:tblGrid>
        <w:gridCol w:w="3676"/>
        <w:gridCol w:w="1710"/>
      </w:tblGrid>
      <w:tr w:rsidR="00467A32" w:rsidTr="00A25A7F">
        <w:trPr>
          <w:trHeight w:val="248"/>
        </w:trPr>
        <w:tc>
          <w:tcPr>
            <w:tcW w:w="3676" w:type="dxa"/>
          </w:tcPr>
          <w:p w:rsidR="00467A32" w:rsidRDefault="00467A32" w:rsidP="00A25A7F">
            <w:pPr>
              <w:autoSpaceDE w:val="0"/>
              <w:autoSpaceDN w:val="0"/>
              <w:adjustRightInd w:val="0"/>
              <w:ind w:left="0"/>
            </w:pPr>
            <w:r>
              <w:t>Factor</w:t>
            </w:r>
          </w:p>
        </w:tc>
        <w:tc>
          <w:tcPr>
            <w:tcW w:w="1710" w:type="dxa"/>
          </w:tcPr>
          <w:p w:rsidR="00467A32" w:rsidRDefault="00C53865" w:rsidP="00A25A7F">
            <w:pPr>
              <w:autoSpaceDE w:val="0"/>
              <w:autoSpaceDN w:val="0"/>
              <w:adjustRightInd w:val="0"/>
              <w:ind w:left="0"/>
            </w:pPr>
            <w:r>
              <w:t>P</w:t>
            </w:r>
            <w:r w:rsidR="00467A32">
              <w:t>untos</w:t>
            </w:r>
          </w:p>
        </w:tc>
      </w:tr>
      <w:tr w:rsidR="00467A32" w:rsidTr="00A25A7F">
        <w:trPr>
          <w:trHeight w:val="539"/>
        </w:trPr>
        <w:tc>
          <w:tcPr>
            <w:tcW w:w="3676" w:type="dxa"/>
          </w:tcPr>
          <w:p w:rsidR="00467A32" w:rsidRDefault="00467A32" w:rsidP="00A25A7F">
            <w:pPr>
              <w:autoSpaceDE w:val="0"/>
              <w:autoSpaceDN w:val="0"/>
              <w:adjustRightInd w:val="0"/>
              <w:rPr>
                <w:rFonts w:ascii="Times-Roman" w:hAnsi="Times-Roman" w:cs="Times-Roman"/>
                <w:sz w:val="13"/>
                <w:szCs w:val="13"/>
              </w:rPr>
            </w:pPr>
          </w:p>
          <w:p w:rsidR="00467A32" w:rsidRPr="00DE22E7" w:rsidRDefault="006C27BA" w:rsidP="00A25A7F">
            <w:pPr>
              <w:autoSpaceDE w:val="0"/>
              <w:autoSpaceDN w:val="0"/>
              <w:adjustRightInd w:val="0"/>
              <w:rPr>
                <w:sz w:val="20"/>
                <w:szCs w:val="20"/>
              </w:rPr>
            </w:pPr>
            <w:r>
              <w:rPr>
                <w:sz w:val="20"/>
                <w:szCs w:val="20"/>
              </w:rPr>
              <w:t xml:space="preserve">Sangre por SNG </w:t>
            </w:r>
          </w:p>
          <w:p w:rsidR="00467A32" w:rsidRPr="00DE22E7" w:rsidRDefault="00467A32" w:rsidP="00A25A7F">
            <w:pPr>
              <w:autoSpaceDE w:val="0"/>
              <w:autoSpaceDN w:val="0"/>
              <w:adjustRightInd w:val="0"/>
              <w:rPr>
                <w:sz w:val="20"/>
                <w:szCs w:val="20"/>
              </w:rPr>
            </w:pPr>
          </w:p>
          <w:p w:rsidR="00467A32" w:rsidRPr="00DE22E7" w:rsidRDefault="00EB1B02" w:rsidP="00A25A7F">
            <w:pPr>
              <w:autoSpaceDE w:val="0"/>
              <w:autoSpaceDN w:val="0"/>
              <w:adjustRightInd w:val="0"/>
              <w:rPr>
                <w:sz w:val="20"/>
                <w:szCs w:val="20"/>
              </w:rPr>
            </w:pPr>
            <w:r>
              <w:rPr>
                <w:sz w:val="20"/>
                <w:szCs w:val="20"/>
              </w:rPr>
              <w:t>Hemoglobina &lt; 8 gr/dl</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Lipotimia</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Leucocitos &gt; 12.000/mm</w:t>
            </w:r>
            <w:r w:rsidRPr="00947C6D">
              <w:rPr>
                <w:sz w:val="20"/>
                <w:szCs w:val="20"/>
                <w:vertAlign w:val="superscript"/>
              </w:rPr>
              <w:t>3</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Edad &gt; 65 años</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Inestabilidad hemodinámica</w:t>
            </w:r>
          </w:p>
          <w:p w:rsidR="00467A32" w:rsidRDefault="00467A32" w:rsidP="00A25A7F">
            <w:pPr>
              <w:autoSpaceDE w:val="0"/>
              <w:autoSpaceDN w:val="0"/>
              <w:adjustRightInd w:val="0"/>
              <w:rPr>
                <w:rFonts w:ascii="Times-Roman" w:hAnsi="Times-Roman" w:cs="Times-Roman"/>
                <w:sz w:val="13"/>
                <w:szCs w:val="13"/>
              </w:rPr>
            </w:pPr>
          </w:p>
          <w:p w:rsidR="00467A32" w:rsidRPr="0024002B" w:rsidRDefault="00467A32" w:rsidP="00A25A7F">
            <w:pPr>
              <w:autoSpaceDE w:val="0"/>
              <w:autoSpaceDN w:val="0"/>
              <w:adjustRightInd w:val="0"/>
              <w:rPr>
                <w:rFonts w:ascii="Times-Roman" w:hAnsi="Times-Roman" w:cs="Times-Roman"/>
                <w:sz w:val="13"/>
                <w:szCs w:val="13"/>
              </w:rPr>
            </w:pPr>
          </w:p>
        </w:tc>
        <w:tc>
          <w:tcPr>
            <w:tcW w:w="1710" w:type="dxa"/>
          </w:tcPr>
          <w:p w:rsidR="00467A32"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5</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4</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4</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2</w:t>
            </w:r>
          </w:p>
          <w:p w:rsidR="00467A32" w:rsidRPr="00DE22E7" w:rsidRDefault="00467A32" w:rsidP="00A25A7F">
            <w:pPr>
              <w:autoSpaceDE w:val="0"/>
              <w:autoSpaceDN w:val="0"/>
              <w:adjustRightInd w:val="0"/>
              <w:rPr>
                <w:sz w:val="20"/>
                <w:szCs w:val="20"/>
              </w:rPr>
            </w:pPr>
          </w:p>
          <w:p w:rsidR="00467A32" w:rsidRPr="00DE22E7" w:rsidRDefault="00467A32" w:rsidP="00A25A7F">
            <w:pPr>
              <w:autoSpaceDE w:val="0"/>
              <w:autoSpaceDN w:val="0"/>
              <w:adjustRightInd w:val="0"/>
              <w:rPr>
                <w:sz w:val="20"/>
                <w:szCs w:val="20"/>
              </w:rPr>
            </w:pPr>
            <w:r w:rsidRPr="00DE22E7">
              <w:rPr>
                <w:sz w:val="20"/>
                <w:szCs w:val="20"/>
              </w:rPr>
              <w:t>2</w:t>
            </w:r>
          </w:p>
          <w:p w:rsidR="00467A32" w:rsidRPr="00DE22E7" w:rsidRDefault="00467A32" w:rsidP="00A25A7F">
            <w:pPr>
              <w:autoSpaceDE w:val="0"/>
              <w:autoSpaceDN w:val="0"/>
              <w:adjustRightInd w:val="0"/>
              <w:rPr>
                <w:sz w:val="20"/>
                <w:szCs w:val="20"/>
              </w:rPr>
            </w:pPr>
          </w:p>
          <w:p w:rsidR="00467A32" w:rsidRPr="0024002B" w:rsidRDefault="00467A32" w:rsidP="00A25A7F">
            <w:pPr>
              <w:autoSpaceDE w:val="0"/>
              <w:autoSpaceDN w:val="0"/>
              <w:adjustRightInd w:val="0"/>
              <w:rPr>
                <w:rFonts w:ascii="Times-Roman" w:hAnsi="Times-Roman" w:cs="Times-Roman"/>
                <w:sz w:val="13"/>
                <w:szCs w:val="13"/>
              </w:rPr>
            </w:pPr>
            <w:r w:rsidRPr="00DE22E7">
              <w:rPr>
                <w:sz w:val="20"/>
                <w:szCs w:val="20"/>
              </w:rPr>
              <w:t>1</w:t>
            </w:r>
          </w:p>
        </w:tc>
      </w:tr>
      <w:tr w:rsidR="00467A32" w:rsidTr="00A25A7F">
        <w:trPr>
          <w:trHeight w:val="581"/>
        </w:trPr>
        <w:tc>
          <w:tcPr>
            <w:tcW w:w="3676" w:type="dxa"/>
          </w:tcPr>
          <w:p w:rsidR="00467A32" w:rsidRDefault="00467A32" w:rsidP="00A25A7F">
            <w:pPr>
              <w:autoSpaceDE w:val="0"/>
              <w:autoSpaceDN w:val="0"/>
              <w:adjustRightInd w:val="0"/>
              <w:ind w:left="0"/>
            </w:pPr>
            <w:r>
              <w:t>Total</w:t>
            </w:r>
          </w:p>
        </w:tc>
        <w:tc>
          <w:tcPr>
            <w:tcW w:w="1710" w:type="dxa"/>
          </w:tcPr>
          <w:p w:rsidR="00467A32" w:rsidRDefault="00467A32" w:rsidP="00804EE2">
            <w:pPr>
              <w:autoSpaceDE w:val="0"/>
              <w:autoSpaceDN w:val="0"/>
              <w:adjustRightInd w:val="0"/>
              <w:ind w:left="0"/>
              <w:jc w:val="center"/>
            </w:pPr>
            <w:r>
              <w:t>18</w:t>
            </w:r>
          </w:p>
        </w:tc>
      </w:tr>
    </w:tbl>
    <w:p w:rsidR="00F470C7" w:rsidRDefault="00F470C7" w:rsidP="00947C6D">
      <w:pPr>
        <w:autoSpaceDE w:val="0"/>
        <w:autoSpaceDN w:val="0"/>
        <w:adjustRightInd w:val="0"/>
        <w:ind w:left="0"/>
        <w:rPr>
          <w:sz w:val="12"/>
          <w:szCs w:val="12"/>
        </w:rPr>
      </w:pPr>
      <w:r w:rsidRPr="00F470C7">
        <w:rPr>
          <w:sz w:val="12"/>
          <w:szCs w:val="12"/>
        </w:rPr>
        <w:t>Fuente: 25 Gómez Zuleta et al, Escala "UNAL" de predicción para identificar pacientes con hemorragia digestiva alta que necesitan</w:t>
      </w:r>
    </w:p>
    <w:p w:rsidR="00F470C7" w:rsidRDefault="00F470C7" w:rsidP="00947C6D">
      <w:pPr>
        <w:autoSpaceDE w:val="0"/>
        <w:autoSpaceDN w:val="0"/>
        <w:adjustRightInd w:val="0"/>
        <w:ind w:left="0"/>
        <w:rPr>
          <w:sz w:val="12"/>
          <w:szCs w:val="12"/>
        </w:rPr>
      </w:pPr>
      <w:r w:rsidRPr="00F470C7">
        <w:rPr>
          <w:sz w:val="12"/>
          <w:szCs w:val="12"/>
        </w:rPr>
        <w:t>endoscopia urgente Acta Médica Colombiana, vol. 31, núm. 4, octubre-diciembre, 2006, pp. 389-399 Asociación Colombiana de</w:t>
      </w:r>
    </w:p>
    <w:p w:rsidR="00467A32" w:rsidRPr="00F470C7" w:rsidRDefault="00F470C7" w:rsidP="00F470C7">
      <w:pPr>
        <w:autoSpaceDE w:val="0"/>
        <w:autoSpaceDN w:val="0"/>
        <w:adjustRightInd w:val="0"/>
        <w:ind w:left="0"/>
        <w:jc w:val="left"/>
        <w:rPr>
          <w:sz w:val="12"/>
          <w:szCs w:val="12"/>
        </w:rPr>
      </w:pPr>
      <w:r w:rsidRPr="00F470C7">
        <w:rPr>
          <w:sz w:val="12"/>
          <w:szCs w:val="12"/>
        </w:rPr>
        <w:t>Medicina Interna Colombia</w:t>
      </w:r>
    </w:p>
    <w:p w:rsidR="00467A32" w:rsidRDefault="00467A32" w:rsidP="00467A32">
      <w:pPr>
        <w:autoSpaceDE w:val="0"/>
        <w:autoSpaceDN w:val="0"/>
        <w:adjustRightInd w:val="0"/>
        <w:ind w:left="0"/>
      </w:pPr>
    </w:p>
    <w:p w:rsidR="00DE22E7" w:rsidRPr="00DE22E7" w:rsidRDefault="00DE22E7" w:rsidP="00DE22E7">
      <w:pPr>
        <w:autoSpaceDE w:val="0"/>
        <w:autoSpaceDN w:val="0"/>
        <w:adjustRightInd w:val="0"/>
        <w:ind w:left="0"/>
        <w:rPr>
          <w:b/>
          <w:bCs/>
        </w:rPr>
      </w:pPr>
      <w:r w:rsidRPr="00DE22E7">
        <w:rPr>
          <w:b/>
          <w:bCs/>
        </w:rPr>
        <w:t>Validación externa</w:t>
      </w:r>
    </w:p>
    <w:p w:rsidR="007D6A21" w:rsidRDefault="007D6A21" w:rsidP="00DE22E7">
      <w:pPr>
        <w:autoSpaceDE w:val="0"/>
        <w:autoSpaceDN w:val="0"/>
        <w:adjustRightInd w:val="0"/>
        <w:ind w:left="0"/>
      </w:pPr>
    </w:p>
    <w:p w:rsidR="00134589" w:rsidRDefault="00DE22E7" w:rsidP="00DE22E7">
      <w:pPr>
        <w:autoSpaceDE w:val="0"/>
        <w:autoSpaceDN w:val="0"/>
        <w:adjustRightInd w:val="0"/>
        <w:ind w:left="0"/>
      </w:pPr>
      <w:r w:rsidRPr="00DE22E7">
        <w:t>La escala de predicción calculada en el estudio inicial se</w:t>
      </w:r>
      <w:r w:rsidR="00C25BB1">
        <w:t xml:space="preserve"> </w:t>
      </w:r>
      <w:r w:rsidRPr="00DE22E7">
        <w:t>aplicó en un grupo independiente de 98 pacientes que ingresaron</w:t>
      </w:r>
      <w:r w:rsidR="00C25BB1">
        <w:t xml:space="preserve"> </w:t>
      </w:r>
      <w:r w:rsidRPr="00DE22E7">
        <w:t>al servicio de urgencias de septiembre de 2005 a juniode 2006, con diagnóstico de HVDA aguda (61 hombres, 37mujeres, edad promedio 56.2 + 16 años). Los síntomas más</w:t>
      </w:r>
      <w:r w:rsidR="00C25BB1">
        <w:t xml:space="preserve"> </w:t>
      </w:r>
      <w:r w:rsidRPr="00DE22E7">
        <w:t>frecuentes fueron melenas (82.7%), hematemesis (60.2%) y</w:t>
      </w:r>
      <w:r w:rsidR="00C25BB1">
        <w:t xml:space="preserve"> </w:t>
      </w:r>
      <w:r w:rsidRPr="00DE22E7">
        <w:t>lipotimia (26.5%). La úlcera péptica gástrica o duodenal</w:t>
      </w:r>
      <w:r w:rsidR="00C25BB1">
        <w:t xml:space="preserve"> </w:t>
      </w:r>
      <w:r w:rsidRPr="00DE22E7">
        <w:t>constituyeron la lesión más frecuente (59.2%) y el sangrado</w:t>
      </w:r>
      <w:r w:rsidR="00C25BB1">
        <w:t xml:space="preserve"> </w:t>
      </w:r>
      <w:r w:rsidRPr="00DE22E7">
        <w:t xml:space="preserve">activo se encontró en 15 pacientes (15.6%). </w:t>
      </w:r>
    </w:p>
    <w:p w:rsidR="00134589" w:rsidRDefault="00134589" w:rsidP="00DE22E7">
      <w:pPr>
        <w:autoSpaceDE w:val="0"/>
        <w:autoSpaceDN w:val="0"/>
        <w:adjustRightInd w:val="0"/>
        <w:ind w:left="0"/>
      </w:pPr>
    </w:p>
    <w:p w:rsidR="00DE22E7" w:rsidRPr="00DE22E7" w:rsidRDefault="00DE22E7" w:rsidP="00DE22E7">
      <w:pPr>
        <w:autoSpaceDE w:val="0"/>
        <w:autoSpaceDN w:val="0"/>
        <w:adjustRightInd w:val="0"/>
        <w:ind w:left="0"/>
      </w:pPr>
      <w:r w:rsidRPr="00DE22E7">
        <w:t>Durante su</w:t>
      </w:r>
      <w:r w:rsidR="00C25BB1">
        <w:t xml:space="preserve"> </w:t>
      </w:r>
      <w:r w:rsidRPr="00DE22E7">
        <w:t>hospitalización 25 pacientes recibieron tratamiento</w:t>
      </w:r>
      <w:r w:rsidR="00C25BB1">
        <w:t xml:space="preserve"> </w:t>
      </w:r>
      <w:r w:rsidRPr="00DE22E7">
        <w:t>endoscópico con terapia de inyección y ninguno de ellos</w:t>
      </w:r>
      <w:r w:rsidR="00C25BB1">
        <w:t xml:space="preserve"> </w:t>
      </w:r>
      <w:r w:rsidRPr="00DE22E7">
        <w:t>presentó complicación derivada</w:t>
      </w:r>
      <w:r w:rsidR="00C25BB1">
        <w:t xml:space="preserve"> </w:t>
      </w:r>
      <w:r w:rsidRPr="00DE22E7">
        <w:t>de este procedimiento. La</w:t>
      </w:r>
      <w:r w:rsidR="00C25BB1">
        <w:t xml:space="preserve"> </w:t>
      </w:r>
      <w:r w:rsidRPr="00DE22E7">
        <w:t>terapia endoscópica fue exitosa en detener el sangrado inicial</w:t>
      </w:r>
      <w:r w:rsidR="00C25BB1">
        <w:t xml:space="preserve"> </w:t>
      </w:r>
      <w:r w:rsidRPr="00DE22E7">
        <w:t>en todos los pacientes y no hubo mortalidad relacionada con</w:t>
      </w:r>
      <w:r w:rsidR="00C25BB1">
        <w:t xml:space="preserve"> </w:t>
      </w:r>
      <w:r w:rsidRPr="00DE22E7">
        <w:t>la hemorragia. Las seis variables contenidas en el modelo</w:t>
      </w:r>
      <w:r w:rsidR="00C25BB1">
        <w:t xml:space="preserve"> </w:t>
      </w:r>
      <w:r w:rsidRPr="00DE22E7">
        <w:t>encontraron mayor proporción en los pacientes con sangrado</w:t>
      </w:r>
      <w:r w:rsidR="00C25BB1">
        <w:t xml:space="preserve"> </w:t>
      </w:r>
      <w:r w:rsidRPr="00DE22E7">
        <w:t>activo, y de ellas la lipotimia (14/26; 53% Vs 1/72</w:t>
      </w:r>
      <w:r w:rsidR="004E3C3B" w:rsidRPr="00DE22E7">
        <w:t>; 1.4</w:t>
      </w:r>
      <w:r w:rsidRPr="00DE22E7">
        <w:t>%), la</w:t>
      </w:r>
      <w:r w:rsidR="00C25BB1">
        <w:t xml:space="preserve"> </w:t>
      </w:r>
      <w:proofErr w:type="spellStart"/>
      <w:r w:rsidRPr="00DE22E7">
        <w:t>Hb</w:t>
      </w:r>
      <w:proofErr w:type="spellEnd"/>
      <w:r w:rsidRPr="00DE22E7">
        <w:t xml:space="preserve">&lt; 8 (9/30; 30% Vs 6/68; 8.8%) y el sangrado por </w:t>
      </w:r>
      <w:proofErr w:type="gramStart"/>
      <w:r w:rsidRPr="00DE22E7">
        <w:t>SNG(</w:t>
      </w:r>
      <w:proofErr w:type="gramEnd"/>
      <w:r w:rsidRPr="00DE22E7">
        <w:t>14/19; 73.7% Vs 1/79; 1.3%) alcanzaron diferencia</w:t>
      </w:r>
      <w:r w:rsidR="00C25BB1">
        <w:t xml:space="preserve"> </w:t>
      </w:r>
      <w:r w:rsidRPr="00DE22E7">
        <w:t>estadísticamente significativa (p&lt; 0.01).</w:t>
      </w:r>
    </w:p>
    <w:p w:rsidR="00134589" w:rsidRDefault="00134589" w:rsidP="00DE22E7">
      <w:pPr>
        <w:autoSpaceDE w:val="0"/>
        <w:autoSpaceDN w:val="0"/>
        <w:adjustRightInd w:val="0"/>
        <w:ind w:left="0"/>
      </w:pPr>
    </w:p>
    <w:p w:rsidR="00DE22E7" w:rsidRPr="00DE22E7" w:rsidRDefault="00DE22E7" w:rsidP="00DE22E7">
      <w:pPr>
        <w:autoSpaceDE w:val="0"/>
        <w:autoSpaceDN w:val="0"/>
        <w:adjustRightInd w:val="0"/>
        <w:ind w:left="0"/>
      </w:pPr>
      <w:r w:rsidRPr="00DE22E7">
        <w:t>Al aplicar la escala de predicción para sangrado activo</w:t>
      </w:r>
      <w:r w:rsidR="00B84E1E">
        <w:t xml:space="preserve"> </w:t>
      </w:r>
      <w:r w:rsidRPr="00DE22E7">
        <w:t>en este grupo, se encontró que en 88 pacientes con una</w:t>
      </w:r>
      <w:r w:rsidR="00B84E1E">
        <w:t xml:space="preserve"> </w:t>
      </w:r>
      <w:r w:rsidRPr="00DE22E7">
        <w:t xml:space="preserve">puntuación menor de 7 ninguno de ellos </w:t>
      </w:r>
      <w:r w:rsidRPr="00DE22E7">
        <w:lastRenderedPageBreak/>
        <w:t>presentaba sangrado</w:t>
      </w:r>
      <w:r w:rsidR="00B84E1E">
        <w:t xml:space="preserve"> </w:t>
      </w:r>
      <w:r w:rsidRPr="00DE22E7">
        <w:t>activo al momento de la endoscopia. En contraste, el</w:t>
      </w:r>
      <w:r w:rsidR="00B84E1E">
        <w:t xml:space="preserve"> </w:t>
      </w:r>
      <w:r w:rsidRPr="00DE22E7">
        <w:t>sangrado activo fue encontrado en la endoscopia temprana</w:t>
      </w:r>
      <w:r w:rsidR="00B84E1E">
        <w:t xml:space="preserve"> </w:t>
      </w:r>
      <w:r w:rsidRPr="00DE22E7">
        <w:t>en el 26.7% de los pacientes con 7 a 10 puntos y en el</w:t>
      </w:r>
      <w:r w:rsidR="00B84E1E">
        <w:t xml:space="preserve"> </w:t>
      </w:r>
      <w:r w:rsidRPr="00DE22E7">
        <w:t>73.3% de los pacientes con 11 o más puntos. Se observó</w:t>
      </w:r>
      <w:r w:rsidR="00B84E1E">
        <w:t xml:space="preserve"> </w:t>
      </w:r>
      <w:r w:rsidRPr="00DE22E7">
        <w:t>claramente que el 100% de los pacientes con sangrado</w:t>
      </w:r>
      <w:r w:rsidR="00B84E1E">
        <w:t xml:space="preserve"> </w:t>
      </w:r>
      <w:r w:rsidRPr="00DE22E7">
        <w:t>activo presentaron una puntuación igual o superior a 7, la</w:t>
      </w:r>
      <w:r w:rsidR="00B84E1E">
        <w:t xml:space="preserve"> </w:t>
      </w:r>
      <w:r w:rsidRPr="00DE22E7">
        <w:t>mayoría de ell</w:t>
      </w:r>
      <w:r>
        <w:t>os con una mayor a 11.</w:t>
      </w:r>
    </w:p>
    <w:p w:rsidR="00DE22E7" w:rsidRDefault="00DE22E7" w:rsidP="00DE22E7">
      <w:pPr>
        <w:autoSpaceDE w:val="0"/>
        <w:autoSpaceDN w:val="0"/>
        <w:adjustRightInd w:val="0"/>
        <w:ind w:left="0"/>
      </w:pPr>
      <w:r w:rsidRPr="00DE22E7">
        <w:t>Para identificar el punto más alto de relación entre sensibilidad</w:t>
      </w:r>
      <w:r w:rsidR="00B84E1E">
        <w:t xml:space="preserve"> </w:t>
      </w:r>
      <w:r w:rsidRPr="00DE22E7">
        <w:t>y especificidad de la escala para pacientes consangrado activo, se construyó una curva ROC (curva de</w:t>
      </w:r>
      <w:r w:rsidR="00B84E1E">
        <w:t xml:space="preserve"> </w:t>
      </w:r>
      <w:r w:rsidRPr="00DE22E7">
        <w:t>características operativas para el receptor) en la cual se</w:t>
      </w:r>
      <w:r w:rsidR="00B84E1E">
        <w:t xml:space="preserve"> </w:t>
      </w:r>
      <w:r w:rsidRPr="00DE22E7">
        <w:t>encontró que el punto de corte en donde existía un mayor</w:t>
      </w:r>
      <w:r w:rsidR="00B84E1E">
        <w:t xml:space="preserve"> </w:t>
      </w:r>
      <w:r w:rsidRPr="00DE22E7">
        <w:t>equilibrio entre sensibilidad y especificidad de la escala fue</w:t>
      </w:r>
      <w:r w:rsidR="00B84E1E">
        <w:t xml:space="preserve"> </w:t>
      </w:r>
      <w:r w:rsidRPr="00DE22E7">
        <w:t>de 7. La sensibilidad, especificidad y valores predictivos de</w:t>
      </w:r>
      <w:r w:rsidR="00B84E1E">
        <w:t xml:space="preserve"> </w:t>
      </w:r>
      <w:r w:rsidRPr="00DE22E7">
        <w:t>la escala, tomando como base el número como punto de</w:t>
      </w:r>
      <w:r w:rsidR="00B84E1E">
        <w:t xml:space="preserve"> </w:t>
      </w:r>
      <w:r w:rsidRPr="00DE22E7">
        <w:t>cort</w:t>
      </w:r>
      <w:r>
        <w:t>e son presentados</w:t>
      </w:r>
    </w:p>
    <w:p w:rsidR="00DE22E7" w:rsidRDefault="00DE22E7" w:rsidP="00DE22E7">
      <w:pPr>
        <w:autoSpaceDE w:val="0"/>
        <w:autoSpaceDN w:val="0"/>
        <w:adjustRightInd w:val="0"/>
        <w:ind w:left="0"/>
        <w:rPr>
          <w:b/>
        </w:rPr>
      </w:pPr>
    </w:p>
    <w:p w:rsidR="007D6A21" w:rsidRPr="007D6A21" w:rsidRDefault="007D6A21" w:rsidP="007D6A21">
      <w:pPr>
        <w:autoSpaceDE w:val="0"/>
        <w:autoSpaceDN w:val="0"/>
        <w:adjustRightInd w:val="0"/>
        <w:ind w:left="0"/>
        <w:rPr>
          <w:b/>
        </w:rPr>
      </w:pPr>
      <w:r>
        <w:rPr>
          <w:b/>
          <w:bCs/>
        </w:rPr>
        <w:t>Tabla 2</w:t>
      </w:r>
      <w:r w:rsidRPr="007D6A21">
        <w:rPr>
          <w:b/>
          <w:bCs/>
        </w:rPr>
        <w:t xml:space="preserve">. </w:t>
      </w:r>
      <w:r w:rsidRPr="007D6A21">
        <w:rPr>
          <w:i/>
          <w:iCs/>
        </w:rPr>
        <w:t>Sensibilidad, especificidad y valores predictivos (VP) del punto de corte 7 de la</w:t>
      </w:r>
      <w:r w:rsidR="00B84E1E">
        <w:rPr>
          <w:i/>
          <w:iCs/>
        </w:rPr>
        <w:t xml:space="preserve"> </w:t>
      </w:r>
      <w:r w:rsidRPr="007D6A21">
        <w:rPr>
          <w:i/>
          <w:iCs/>
        </w:rPr>
        <w:t>escala para sangrado activo. (IC 95%). Estudio de validación externa.</w:t>
      </w:r>
    </w:p>
    <w:p w:rsidR="007D6A21" w:rsidRPr="007D6A21" w:rsidRDefault="007D6A21" w:rsidP="00DE22E7">
      <w:pPr>
        <w:autoSpaceDE w:val="0"/>
        <w:autoSpaceDN w:val="0"/>
        <w:adjustRightInd w:val="0"/>
        <w:ind w:left="0"/>
        <w:rPr>
          <w:b/>
        </w:rPr>
      </w:pPr>
    </w:p>
    <w:tbl>
      <w:tblPr>
        <w:tblStyle w:val="TableGrid"/>
        <w:tblW w:w="0" w:type="auto"/>
        <w:tblLook w:val="04A0" w:firstRow="1" w:lastRow="0" w:firstColumn="1" w:lastColumn="0" w:noHBand="0" w:noVBand="1"/>
      </w:tblPr>
      <w:tblGrid>
        <w:gridCol w:w="2786"/>
        <w:gridCol w:w="2787"/>
        <w:gridCol w:w="2787"/>
      </w:tblGrid>
      <w:tr w:rsidR="007D6A21" w:rsidRPr="007D6A21" w:rsidTr="00DE22E7">
        <w:tc>
          <w:tcPr>
            <w:tcW w:w="2786" w:type="dxa"/>
          </w:tcPr>
          <w:p w:rsidR="007D6A21" w:rsidRPr="007D6A21" w:rsidRDefault="007D6A21" w:rsidP="007D6A21">
            <w:pPr>
              <w:ind w:left="0"/>
              <w:jc w:val="center"/>
              <w:rPr>
                <w:b/>
                <w:sz w:val="20"/>
                <w:szCs w:val="20"/>
              </w:rPr>
            </w:pPr>
            <w:r w:rsidRPr="007D6A21">
              <w:rPr>
                <w:b/>
                <w:bCs/>
                <w:sz w:val="20"/>
                <w:szCs w:val="20"/>
              </w:rPr>
              <w:t>Puntuación escala</w:t>
            </w:r>
          </w:p>
        </w:tc>
        <w:tc>
          <w:tcPr>
            <w:tcW w:w="2787" w:type="dxa"/>
          </w:tcPr>
          <w:p w:rsidR="007D6A21" w:rsidRPr="007D6A21" w:rsidRDefault="007D6A21" w:rsidP="007D6A21">
            <w:pPr>
              <w:ind w:left="0"/>
              <w:jc w:val="center"/>
              <w:rPr>
                <w:b/>
                <w:sz w:val="20"/>
                <w:szCs w:val="20"/>
              </w:rPr>
            </w:pPr>
            <w:r w:rsidRPr="007D6A21">
              <w:rPr>
                <w:b/>
                <w:bCs/>
                <w:sz w:val="20"/>
                <w:szCs w:val="20"/>
              </w:rPr>
              <w:t>Sangrado activo</w:t>
            </w:r>
          </w:p>
        </w:tc>
        <w:tc>
          <w:tcPr>
            <w:tcW w:w="2787" w:type="dxa"/>
          </w:tcPr>
          <w:p w:rsidR="007D6A21" w:rsidRPr="007D6A21" w:rsidRDefault="007D6A21" w:rsidP="007D6A21">
            <w:pPr>
              <w:ind w:left="0"/>
              <w:jc w:val="center"/>
              <w:rPr>
                <w:b/>
                <w:sz w:val="20"/>
                <w:szCs w:val="20"/>
              </w:rPr>
            </w:pPr>
            <w:r w:rsidRPr="007D6A21">
              <w:rPr>
                <w:b/>
                <w:bCs/>
                <w:sz w:val="20"/>
                <w:szCs w:val="20"/>
              </w:rPr>
              <w:t>No sangrado activo</w:t>
            </w:r>
          </w:p>
        </w:tc>
      </w:tr>
      <w:tr w:rsidR="00DE22E7" w:rsidTr="00DE22E7">
        <w:tc>
          <w:tcPr>
            <w:tcW w:w="2786" w:type="dxa"/>
          </w:tcPr>
          <w:p w:rsidR="00DE22E7" w:rsidRPr="007D6A21" w:rsidRDefault="007D6A21" w:rsidP="007D6A21">
            <w:pPr>
              <w:autoSpaceDE w:val="0"/>
              <w:autoSpaceDN w:val="0"/>
              <w:adjustRightInd w:val="0"/>
              <w:ind w:left="0"/>
              <w:jc w:val="center"/>
              <w:rPr>
                <w:sz w:val="20"/>
                <w:szCs w:val="20"/>
              </w:rPr>
            </w:pPr>
            <w:r w:rsidRPr="007D6A21">
              <w:rPr>
                <w:sz w:val="20"/>
                <w:szCs w:val="20"/>
              </w:rPr>
              <w:t>Mayor o igual a 7</w:t>
            </w:r>
          </w:p>
        </w:tc>
        <w:tc>
          <w:tcPr>
            <w:tcW w:w="2787" w:type="dxa"/>
          </w:tcPr>
          <w:p w:rsidR="00DE22E7" w:rsidRPr="007D6A21" w:rsidRDefault="007D6A21" w:rsidP="007D6A21">
            <w:pPr>
              <w:autoSpaceDE w:val="0"/>
              <w:autoSpaceDN w:val="0"/>
              <w:adjustRightInd w:val="0"/>
              <w:ind w:left="0"/>
              <w:jc w:val="center"/>
              <w:rPr>
                <w:sz w:val="20"/>
                <w:szCs w:val="20"/>
              </w:rPr>
            </w:pPr>
            <w:r w:rsidRPr="007D6A21">
              <w:rPr>
                <w:sz w:val="20"/>
                <w:szCs w:val="20"/>
              </w:rPr>
              <w:t>15</w:t>
            </w:r>
          </w:p>
        </w:tc>
        <w:tc>
          <w:tcPr>
            <w:tcW w:w="2787" w:type="dxa"/>
          </w:tcPr>
          <w:p w:rsidR="00DE22E7" w:rsidRPr="007D6A21" w:rsidRDefault="007D6A21" w:rsidP="007D6A21">
            <w:pPr>
              <w:autoSpaceDE w:val="0"/>
              <w:autoSpaceDN w:val="0"/>
              <w:adjustRightInd w:val="0"/>
              <w:ind w:left="0"/>
              <w:jc w:val="center"/>
              <w:rPr>
                <w:sz w:val="20"/>
                <w:szCs w:val="20"/>
              </w:rPr>
            </w:pPr>
            <w:r w:rsidRPr="007D6A21">
              <w:rPr>
                <w:sz w:val="20"/>
                <w:szCs w:val="20"/>
              </w:rPr>
              <w:t>14</w:t>
            </w:r>
          </w:p>
        </w:tc>
      </w:tr>
      <w:tr w:rsidR="00DE22E7" w:rsidTr="007D6A21">
        <w:trPr>
          <w:trHeight w:val="70"/>
        </w:trPr>
        <w:tc>
          <w:tcPr>
            <w:tcW w:w="2786" w:type="dxa"/>
          </w:tcPr>
          <w:p w:rsidR="00DE22E7" w:rsidRPr="007D6A21" w:rsidRDefault="007D6A21" w:rsidP="007D6A21">
            <w:pPr>
              <w:autoSpaceDE w:val="0"/>
              <w:autoSpaceDN w:val="0"/>
              <w:adjustRightInd w:val="0"/>
              <w:ind w:left="0"/>
              <w:jc w:val="center"/>
              <w:rPr>
                <w:sz w:val="20"/>
                <w:szCs w:val="20"/>
              </w:rPr>
            </w:pPr>
            <w:r w:rsidRPr="007D6A21">
              <w:rPr>
                <w:sz w:val="20"/>
                <w:szCs w:val="20"/>
              </w:rPr>
              <w:t>Menor de 7</w:t>
            </w:r>
          </w:p>
        </w:tc>
        <w:tc>
          <w:tcPr>
            <w:tcW w:w="2787" w:type="dxa"/>
          </w:tcPr>
          <w:p w:rsidR="00DE22E7" w:rsidRPr="007D6A21" w:rsidRDefault="007D6A21" w:rsidP="007D6A21">
            <w:pPr>
              <w:autoSpaceDE w:val="0"/>
              <w:autoSpaceDN w:val="0"/>
              <w:adjustRightInd w:val="0"/>
              <w:ind w:left="0"/>
              <w:jc w:val="center"/>
              <w:rPr>
                <w:sz w:val="20"/>
                <w:szCs w:val="20"/>
              </w:rPr>
            </w:pPr>
            <w:r w:rsidRPr="007D6A21">
              <w:rPr>
                <w:sz w:val="20"/>
                <w:szCs w:val="20"/>
              </w:rPr>
              <w:t>0</w:t>
            </w:r>
          </w:p>
        </w:tc>
        <w:tc>
          <w:tcPr>
            <w:tcW w:w="2787" w:type="dxa"/>
          </w:tcPr>
          <w:p w:rsidR="00DE22E7" w:rsidRPr="007D6A21" w:rsidRDefault="007D6A21" w:rsidP="007D6A21">
            <w:pPr>
              <w:autoSpaceDE w:val="0"/>
              <w:autoSpaceDN w:val="0"/>
              <w:adjustRightInd w:val="0"/>
              <w:ind w:left="0"/>
              <w:jc w:val="center"/>
              <w:rPr>
                <w:sz w:val="20"/>
                <w:szCs w:val="20"/>
              </w:rPr>
            </w:pPr>
            <w:r w:rsidRPr="007D6A21">
              <w:rPr>
                <w:sz w:val="20"/>
                <w:szCs w:val="20"/>
              </w:rPr>
              <w:t>69</w:t>
            </w:r>
          </w:p>
        </w:tc>
      </w:tr>
      <w:tr w:rsidR="00DE22E7" w:rsidTr="00DE22E7">
        <w:tc>
          <w:tcPr>
            <w:tcW w:w="2786" w:type="dxa"/>
          </w:tcPr>
          <w:p w:rsidR="00DE22E7" w:rsidRPr="007D6A21" w:rsidRDefault="00467A32" w:rsidP="007D6A21">
            <w:pPr>
              <w:autoSpaceDE w:val="0"/>
              <w:autoSpaceDN w:val="0"/>
              <w:adjustRightInd w:val="0"/>
              <w:ind w:left="0"/>
              <w:jc w:val="center"/>
              <w:rPr>
                <w:sz w:val="20"/>
                <w:szCs w:val="20"/>
              </w:rPr>
            </w:pPr>
            <w:r w:rsidRPr="007D6A21">
              <w:rPr>
                <w:sz w:val="20"/>
                <w:szCs w:val="20"/>
              </w:rPr>
              <w:t>T</w:t>
            </w:r>
            <w:r w:rsidR="007D6A21" w:rsidRPr="007D6A21">
              <w:rPr>
                <w:sz w:val="20"/>
                <w:szCs w:val="20"/>
              </w:rPr>
              <w:t>otal</w:t>
            </w:r>
          </w:p>
        </w:tc>
        <w:tc>
          <w:tcPr>
            <w:tcW w:w="2787" w:type="dxa"/>
          </w:tcPr>
          <w:p w:rsidR="00DE22E7" w:rsidRPr="007D6A21" w:rsidRDefault="007D6A21" w:rsidP="007D6A21">
            <w:pPr>
              <w:autoSpaceDE w:val="0"/>
              <w:autoSpaceDN w:val="0"/>
              <w:adjustRightInd w:val="0"/>
              <w:ind w:left="0"/>
              <w:jc w:val="center"/>
              <w:rPr>
                <w:sz w:val="20"/>
                <w:szCs w:val="20"/>
              </w:rPr>
            </w:pPr>
            <w:r w:rsidRPr="007D6A21">
              <w:rPr>
                <w:sz w:val="20"/>
                <w:szCs w:val="20"/>
              </w:rPr>
              <w:t>15</w:t>
            </w:r>
          </w:p>
        </w:tc>
        <w:tc>
          <w:tcPr>
            <w:tcW w:w="2787" w:type="dxa"/>
          </w:tcPr>
          <w:p w:rsidR="00DE22E7" w:rsidRPr="007D6A21" w:rsidRDefault="007D6A21" w:rsidP="007D6A21">
            <w:pPr>
              <w:autoSpaceDE w:val="0"/>
              <w:autoSpaceDN w:val="0"/>
              <w:adjustRightInd w:val="0"/>
              <w:ind w:left="0"/>
              <w:jc w:val="center"/>
              <w:rPr>
                <w:sz w:val="20"/>
                <w:szCs w:val="20"/>
              </w:rPr>
            </w:pPr>
            <w:r w:rsidRPr="007D6A21">
              <w:rPr>
                <w:sz w:val="20"/>
                <w:szCs w:val="20"/>
              </w:rPr>
              <w:t>83</w:t>
            </w:r>
          </w:p>
        </w:tc>
      </w:tr>
      <w:tr w:rsidR="007D6A21" w:rsidTr="00DE22E7">
        <w:tc>
          <w:tcPr>
            <w:tcW w:w="2786" w:type="dxa"/>
          </w:tcPr>
          <w:p w:rsidR="007D6A21" w:rsidRPr="007D6A21" w:rsidRDefault="007D6A21" w:rsidP="00A25A7F">
            <w:pPr>
              <w:autoSpaceDE w:val="0"/>
              <w:autoSpaceDN w:val="0"/>
              <w:adjustRightInd w:val="0"/>
              <w:rPr>
                <w:sz w:val="20"/>
                <w:szCs w:val="20"/>
              </w:rPr>
            </w:pPr>
            <w:r w:rsidRPr="007D6A21">
              <w:rPr>
                <w:sz w:val="20"/>
                <w:szCs w:val="20"/>
              </w:rPr>
              <w:t>Sensibilidad</w:t>
            </w:r>
          </w:p>
        </w:tc>
        <w:tc>
          <w:tcPr>
            <w:tcW w:w="2787" w:type="dxa"/>
          </w:tcPr>
          <w:p w:rsidR="007D6A21" w:rsidRPr="007D6A21" w:rsidRDefault="007D6A21" w:rsidP="00A25A7F">
            <w:pPr>
              <w:autoSpaceDE w:val="0"/>
              <w:autoSpaceDN w:val="0"/>
              <w:adjustRightInd w:val="0"/>
              <w:rPr>
                <w:sz w:val="18"/>
                <w:szCs w:val="18"/>
              </w:rPr>
            </w:pPr>
            <w:r w:rsidRPr="007D6A21">
              <w:rPr>
                <w:sz w:val="18"/>
                <w:szCs w:val="18"/>
              </w:rPr>
              <w:t>100 % (75-100)</w:t>
            </w:r>
          </w:p>
        </w:tc>
        <w:tc>
          <w:tcPr>
            <w:tcW w:w="2787" w:type="dxa"/>
          </w:tcPr>
          <w:p w:rsidR="007D6A21" w:rsidRPr="007D6A21" w:rsidRDefault="007D6A21" w:rsidP="00DE22E7">
            <w:pPr>
              <w:autoSpaceDE w:val="0"/>
              <w:autoSpaceDN w:val="0"/>
              <w:adjustRightInd w:val="0"/>
              <w:ind w:left="0"/>
              <w:rPr>
                <w:sz w:val="20"/>
                <w:szCs w:val="20"/>
              </w:rPr>
            </w:pPr>
          </w:p>
        </w:tc>
      </w:tr>
      <w:tr w:rsidR="007D6A21" w:rsidTr="00DE22E7">
        <w:tc>
          <w:tcPr>
            <w:tcW w:w="2786" w:type="dxa"/>
          </w:tcPr>
          <w:p w:rsidR="007D6A21" w:rsidRPr="007D6A21" w:rsidRDefault="007D6A21" w:rsidP="00A25A7F">
            <w:pPr>
              <w:autoSpaceDE w:val="0"/>
              <w:autoSpaceDN w:val="0"/>
              <w:adjustRightInd w:val="0"/>
              <w:rPr>
                <w:sz w:val="20"/>
                <w:szCs w:val="20"/>
              </w:rPr>
            </w:pPr>
            <w:r w:rsidRPr="007D6A21">
              <w:rPr>
                <w:sz w:val="20"/>
                <w:szCs w:val="20"/>
              </w:rPr>
              <w:t>Especificidad</w:t>
            </w:r>
          </w:p>
        </w:tc>
        <w:tc>
          <w:tcPr>
            <w:tcW w:w="2787" w:type="dxa"/>
          </w:tcPr>
          <w:p w:rsidR="007D6A21" w:rsidRPr="007D6A21" w:rsidRDefault="007D6A21" w:rsidP="00A25A7F">
            <w:pPr>
              <w:autoSpaceDE w:val="0"/>
              <w:autoSpaceDN w:val="0"/>
              <w:adjustRightInd w:val="0"/>
              <w:rPr>
                <w:sz w:val="18"/>
                <w:szCs w:val="18"/>
              </w:rPr>
            </w:pPr>
            <w:r w:rsidRPr="007D6A21">
              <w:rPr>
                <w:sz w:val="18"/>
                <w:szCs w:val="18"/>
              </w:rPr>
              <w:t>83.1 % (73– 98)</w:t>
            </w:r>
          </w:p>
        </w:tc>
        <w:tc>
          <w:tcPr>
            <w:tcW w:w="2787" w:type="dxa"/>
          </w:tcPr>
          <w:p w:rsidR="007D6A21" w:rsidRPr="007D6A21" w:rsidRDefault="007D6A21" w:rsidP="00DE22E7">
            <w:pPr>
              <w:autoSpaceDE w:val="0"/>
              <w:autoSpaceDN w:val="0"/>
              <w:adjustRightInd w:val="0"/>
              <w:ind w:left="0"/>
              <w:rPr>
                <w:sz w:val="20"/>
                <w:szCs w:val="20"/>
              </w:rPr>
            </w:pPr>
          </w:p>
        </w:tc>
      </w:tr>
      <w:tr w:rsidR="007D6A21" w:rsidTr="00DE22E7">
        <w:tc>
          <w:tcPr>
            <w:tcW w:w="2786" w:type="dxa"/>
          </w:tcPr>
          <w:p w:rsidR="007D6A21" w:rsidRPr="007D6A21" w:rsidRDefault="007D6A21" w:rsidP="00A25A7F">
            <w:pPr>
              <w:autoSpaceDE w:val="0"/>
              <w:autoSpaceDN w:val="0"/>
              <w:adjustRightInd w:val="0"/>
              <w:rPr>
                <w:sz w:val="20"/>
                <w:szCs w:val="20"/>
              </w:rPr>
            </w:pPr>
            <w:r w:rsidRPr="007D6A21">
              <w:rPr>
                <w:sz w:val="20"/>
                <w:szCs w:val="20"/>
              </w:rPr>
              <w:t>VP positivo</w:t>
            </w:r>
          </w:p>
        </w:tc>
        <w:tc>
          <w:tcPr>
            <w:tcW w:w="2787" w:type="dxa"/>
          </w:tcPr>
          <w:p w:rsidR="007D6A21" w:rsidRPr="007D6A21" w:rsidRDefault="007D6A21" w:rsidP="00A25A7F">
            <w:pPr>
              <w:autoSpaceDE w:val="0"/>
              <w:autoSpaceDN w:val="0"/>
              <w:adjustRightInd w:val="0"/>
              <w:rPr>
                <w:sz w:val="18"/>
                <w:szCs w:val="18"/>
              </w:rPr>
            </w:pPr>
            <w:r w:rsidRPr="007D6A21">
              <w:rPr>
                <w:sz w:val="18"/>
                <w:szCs w:val="18"/>
              </w:rPr>
              <w:t>64.3 % (33-70)</w:t>
            </w:r>
          </w:p>
        </w:tc>
        <w:tc>
          <w:tcPr>
            <w:tcW w:w="2787" w:type="dxa"/>
          </w:tcPr>
          <w:p w:rsidR="007D6A21" w:rsidRPr="007D6A21" w:rsidRDefault="007D6A21" w:rsidP="00DE22E7">
            <w:pPr>
              <w:autoSpaceDE w:val="0"/>
              <w:autoSpaceDN w:val="0"/>
              <w:adjustRightInd w:val="0"/>
              <w:ind w:left="0"/>
              <w:rPr>
                <w:sz w:val="20"/>
                <w:szCs w:val="20"/>
              </w:rPr>
            </w:pPr>
          </w:p>
        </w:tc>
      </w:tr>
      <w:tr w:rsidR="007D6A21" w:rsidTr="007D6A21">
        <w:trPr>
          <w:trHeight w:val="328"/>
        </w:trPr>
        <w:tc>
          <w:tcPr>
            <w:tcW w:w="2786" w:type="dxa"/>
          </w:tcPr>
          <w:p w:rsidR="007D6A21" w:rsidRPr="007D6A21" w:rsidRDefault="007D6A21" w:rsidP="00A25A7F">
            <w:pPr>
              <w:autoSpaceDE w:val="0"/>
              <w:autoSpaceDN w:val="0"/>
              <w:adjustRightInd w:val="0"/>
              <w:rPr>
                <w:sz w:val="20"/>
                <w:szCs w:val="20"/>
              </w:rPr>
            </w:pPr>
            <w:r w:rsidRPr="007D6A21">
              <w:rPr>
                <w:sz w:val="20"/>
                <w:szCs w:val="20"/>
              </w:rPr>
              <w:t>VP negativo</w:t>
            </w:r>
          </w:p>
        </w:tc>
        <w:tc>
          <w:tcPr>
            <w:tcW w:w="2787" w:type="dxa"/>
          </w:tcPr>
          <w:p w:rsidR="007D6A21" w:rsidRPr="007D6A21" w:rsidRDefault="007D6A21" w:rsidP="00A25A7F">
            <w:pPr>
              <w:rPr>
                <w:sz w:val="18"/>
                <w:szCs w:val="18"/>
              </w:rPr>
            </w:pPr>
            <w:r w:rsidRPr="007D6A21">
              <w:rPr>
                <w:sz w:val="18"/>
                <w:szCs w:val="18"/>
              </w:rPr>
              <w:t>100 % (93-100)</w:t>
            </w:r>
          </w:p>
        </w:tc>
        <w:tc>
          <w:tcPr>
            <w:tcW w:w="2787" w:type="dxa"/>
          </w:tcPr>
          <w:p w:rsidR="007D6A21" w:rsidRPr="007D6A21" w:rsidRDefault="007D6A21" w:rsidP="00DE22E7">
            <w:pPr>
              <w:autoSpaceDE w:val="0"/>
              <w:autoSpaceDN w:val="0"/>
              <w:adjustRightInd w:val="0"/>
              <w:ind w:left="0"/>
              <w:rPr>
                <w:sz w:val="20"/>
                <w:szCs w:val="20"/>
              </w:rPr>
            </w:pPr>
          </w:p>
        </w:tc>
      </w:tr>
    </w:tbl>
    <w:p w:rsidR="00502DD6" w:rsidRPr="00502DD6" w:rsidRDefault="00502DD6" w:rsidP="00502DD6">
      <w:pPr>
        <w:autoSpaceDE w:val="0"/>
        <w:autoSpaceDN w:val="0"/>
        <w:adjustRightInd w:val="0"/>
        <w:ind w:left="0"/>
        <w:rPr>
          <w:sz w:val="12"/>
          <w:szCs w:val="12"/>
        </w:rPr>
      </w:pPr>
      <w:r w:rsidRPr="00502DD6">
        <w:rPr>
          <w:sz w:val="12"/>
          <w:szCs w:val="12"/>
        </w:rPr>
        <w:t>Fuente: 25 Gómez Zuleta et al, Escala "UNAL" de predicción para identificar pacientes con hemorragia digestiva alta que necesitan</w:t>
      </w:r>
    </w:p>
    <w:p w:rsidR="00502DD6" w:rsidRPr="00502DD6" w:rsidRDefault="00502DD6" w:rsidP="00502DD6">
      <w:pPr>
        <w:autoSpaceDE w:val="0"/>
        <w:autoSpaceDN w:val="0"/>
        <w:adjustRightInd w:val="0"/>
        <w:ind w:left="0"/>
        <w:rPr>
          <w:sz w:val="12"/>
          <w:szCs w:val="12"/>
        </w:rPr>
      </w:pPr>
      <w:r w:rsidRPr="00502DD6">
        <w:rPr>
          <w:sz w:val="12"/>
          <w:szCs w:val="12"/>
        </w:rPr>
        <w:t>endoscopia urgente Acta Médica Colombiana, vol. 31, núm. 4, octubre-diciembre, 2006, pp. 389-399 Asociación Colombiana de</w:t>
      </w:r>
    </w:p>
    <w:p w:rsidR="00DE22E7" w:rsidRPr="00502DD6" w:rsidRDefault="00502DD6" w:rsidP="00502DD6">
      <w:pPr>
        <w:autoSpaceDE w:val="0"/>
        <w:autoSpaceDN w:val="0"/>
        <w:adjustRightInd w:val="0"/>
        <w:ind w:left="0"/>
        <w:rPr>
          <w:sz w:val="12"/>
          <w:szCs w:val="12"/>
        </w:rPr>
      </w:pPr>
      <w:r w:rsidRPr="00502DD6">
        <w:rPr>
          <w:sz w:val="12"/>
          <w:szCs w:val="12"/>
        </w:rPr>
        <w:t xml:space="preserve">                    Medicina Interna Colombia</w:t>
      </w:r>
    </w:p>
    <w:p w:rsidR="00DE22E7" w:rsidRPr="00DE22E7" w:rsidRDefault="00DE22E7" w:rsidP="00DE22E7">
      <w:pPr>
        <w:autoSpaceDE w:val="0"/>
        <w:autoSpaceDN w:val="0"/>
        <w:adjustRightInd w:val="0"/>
        <w:ind w:left="0"/>
        <w:rPr>
          <w:b/>
          <w:bCs/>
        </w:rPr>
      </w:pPr>
    </w:p>
    <w:p w:rsidR="007074F0" w:rsidRDefault="007074F0" w:rsidP="007074F0">
      <w:pPr>
        <w:autoSpaceDE w:val="0"/>
        <w:autoSpaceDN w:val="0"/>
        <w:adjustRightInd w:val="0"/>
        <w:ind w:left="0"/>
      </w:pPr>
    </w:p>
    <w:p w:rsidR="007074F0" w:rsidRDefault="007074F0" w:rsidP="007074F0">
      <w:pPr>
        <w:autoSpaceDE w:val="0"/>
        <w:autoSpaceDN w:val="0"/>
        <w:adjustRightInd w:val="0"/>
        <w:ind w:left="0"/>
      </w:pPr>
    </w:p>
    <w:p w:rsidR="007074F0" w:rsidRDefault="007074F0" w:rsidP="007074F0">
      <w:pPr>
        <w:autoSpaceDE w:val="0"/>
        <w:autoSpaceDN w:val="0"/>
        <w:adjustRightInd w:val="0"/>
        <w:ind w:left="0"/>
      </w:pPr>
    </w:p>
    <w:p w:rsidR="007074F0" w:rsidRDefault="007074F0"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5B5008" w:rsidRDefault="005B5008" w:rsidP="007074F0">
      <w:pPr>
        <w:autoSpaceDE w:val="0"/>
        <w:autoSpaceDN w:val="0"/>
        <w:adjustRightInd w:val="0"/>
        <w:ind w:left="0"/>
      </w:pPr>
    </w:p>
    <w:p w:rsidR="007074F0" w:rsidRDefault="007074F0" w:rsidP="007074F0">
      <w:pPr>
        <w:autoSpaceDE w:val="0"/>
        <w:autoSpaceDN w:val="0"/>
        <w:adjustRightInd w:val="0"/>
        <w:ind w:left="0"/>
      </w:pPr>
    </w:p>
    <w:p w:rsidR="00086CA1" w:rsidRDefault="00086CA1" w:rsidP="007074F0">
      <w:pPr>
        <w:autoSpaceDE w:val="0"/>
        <w:autoSpaceDN w:val="0"/>
        <w:adjustRightInd w:val="0"/>
        <w:ind w:left="0"/>
      </w:pPr>
    </w:p>
    <w:p w:rsidR="00086CA1" w:rsidRDefault="00086CA1" w:rsidP="007074F0">
      <w:pPr>
        <w:autoSpaceDE w:val="0"/>
        <w:autoSpaceDN w:val="0"/>
        <w:adjustRightInd w:val="0"/>
        <w:ind w:left="0"/>
      </w:pPr>
    </w:p>
    <w:p w:rsidR="00086CA1" w:rsidRDefault="00086CA1" w:rsidP="007074F0">
      <w:pPr>
        <w:autoSpaceDE w:val="0"/>
        <w:autoSpaceDN w:val="0"/>
        <w:adjustRightInd w:val="0"/>
        <w:ind w:left="0"/>
      </w:pPr>
    </w:p>
    <w:p w:rsidR="00086CA1" w:rsidRDefault="00086CA1" w:rsidP="007074F0">
      <w:pPr>
        <w:autoSpaceDE w:val="0"/>
        <w:autoSpaceDN w:val="0"/>
        <w:adjustRightInd w:val="0"/>
        <w:ind w:left="0"/>
      </w:pPr>
    </w:p>
    <w:p w:rsidR="00086CA1" w:rsidRDefault="00086CA1" w:rsidP="007074F0">
      <w:pPr>
        <w:autoSpaceDE w:val="0"/>
        <w:autoSpaceDN w:val="0"/>
        <w:adjustRightInd w:val="0"/>
        <w:ind w:left="0"/>
      </w:pPr>
    </w:p>
    <w:p w:rsidR="00086CA1" w:rsidRDefault="00086CA1" w:rsidP="007074F0">
      <w:pPr>
        <w:autoSpaceDE w:val="0"/>
        <w:autoSpaceDN w:val="0"/>
        <w:adjustRightInd w:val="0"/>
        <w:ind w:left="0"/>
      </w:pPr>
    </w:p>
    <w:p w:rsidR="000D6725" w:rsidRDefault="000D6725" w:rsidP="007074F0">
      <w:pPr>
        <w:autoSpaceDE w:val="0"/>
        <w:autoSpaceDN w:val="0"/>
        <w:adjustRightInd w:val="0"/>
        <w:ind w:left="0"/>
      </w:pPr>
    </w:p>
    <w:p w:rsidR="000D6725" w:rsidRDefault="000D6725" w:rsidP="007074F0">
      <w:pPr>
        <w:autoSpaceDE w:val="0"/>
        <w:autoSpaceDN w:val="0"/>
        <w:adjustRightInd w:val="0"/>
        <w:ind w:left="0"/>
      </w:pPr>
    </w:p>
    <w:p w:rsidR="000D6725" w:rsidRDefault="000D6725" w:rsidP="007074F0">
      <w:pPr>
        <w:autoSpaceDE w:val="0"/>
        <w:autoSpaceDN w:val="0"/>
        <w:adjustRightInd w:val="0"/>
        <w:ind w:left="0"/>
      </w:pPr>
    </w:p>
    <w:p w:rsidR="000D6725" w:rsidRDefault="000D6725" w:rsidP="007074F0">
      <w:pPr>
        <w:autoSpaceDE w:val="0"/>
        <w:autoSpaceDN w:val="0"/>
        <w:adjustRightInd w:val="0"/>
        <w:ind w:left="0"/>
      </w:pPr>
    </w:p>
    <w:p w:rsidR="00086CA1" w:rsidRPr="007074F0" w:rsidRDefault="00086CA1" w:rsidP="007074F0">
      <w:pPr>
        <w:autoSpaceDE w:val="0"/>
        <w:autoSpaceDN w:val="0"/>
        <w:adjustRightInd w:val="0"/>
        <w:ind w:left="0"/>
      </w:pPr>
    </w:p>
    <w:p w:rsidR="00C7613C" w:rsidRPr="00181D61" w:rsidRDefault="00086CA1" w:rsidP="002410CE">
      <w:pPr>
        <w:ind w:left="0"/>
        <w:jc w:val="center"/>
        <w:rPr>
          <w:b/>
        </w:rPr>
      </w:pPr>
      <w:r>
        <w:rPr>
          <w:b/>
        </w:rPr>
        <w:t>5</w:t>
      </w:r>
      <w:r w:rsidR="00A5286C">
        <w:rPr>
          <w:b/>
        </w:rPr>
        <w:t xml:space="preserve">. </w:t>
      </w:r>
      <w:r w:rsidR="00C7613C" w:rsidRPr="00181D61">
        <w:rPr>
          <w:b/>
        </w:rPr>
        <w:t>HIPOTESIS</w:t>
      </w:r>
    </w:p>
    <w:p w:rsidR="00DC3A73" w:rsidRDefault="00DC3A73" w:rsidP="002410CE">
      <w:pPr>
        <w:ind w:left="0"/>
      </w:pPr>
    </w:p>
    <w:p w:rsidR="00C91521" w:rsidRPr="000A2C6C" w:rsidRDefault="000A2C6C" w:rsidP="002410CE">
      <w:pPr>
        <w:autoSpaceDE w:val="0"/>
        <w:autoSpaceDN w:val="0"/>
        <w:adjustRightInd w:val="0"/>
        <w:ind w:left="0"/>
      </w:pPr>
      <w:r w:rsidRPr="000A2C6C">
        <w:t>En los pacientes con hemorragia de vías digestivas altas,</w:t>
      </w:r>
      <w:r w:rsidR="00B84E1E">
        <w:t xml:space="preserve"> </w:t>
      </w:r>
      <w:r w:rsidRPr="000A2C6C">
        <w:t>l</w:t>
      </w:r>
      <w:r>
        <w:t>a aplicación de la</w:t>
      </w:r>
      <w:r w:rsidRPr="000A2C6C">
        <w:t xml:space="preserve"> escala </w:t>
      </w:r>
      <w:r>
        <w:t>“UNAL”</w:t>
      </w:r>
      <w:r w:rsidR="000D6725">
        <w:t xml:space="preserve"> de predicción de sangrado activo en Hemorragia Digestiva Alta,</w:t>
      </w:r>
      <w:r w:rsidR="00B84E1E">
        <w:t xml:space="preserve"> </w:t>
      </w:r>
      <w:r w:rsidRPr="000A2C6C">
        <w:t>construida con variables clínicas</w:t>
      </w:r>
      <w:r w:rsidR="000D6725">
        <w:t xml:space="preserve"> y de laboratorio</w:t>
      </w:r>
      <w:r w:rsidRPr="000A2C6C">
        <w:t xml:space="preserve"> específicas</w:t>
      </w:r>
      <w:r w:rsidR="000D6725">
        <w:t>,</w:t>
      </w:r>
      <w:r w:rsidRPr="000A2C6C">
        <w:t xml:space="preserve"> es útil para determinar</w:t>
      </w:r>
      <w:r w:rsidR="000D6725">
        <w:t xml:space="preserve"> la presencia de este</w:t>
      </w:r>
      <w:r w:rsidRPr="000A2C6C">
        <w:t xml:space="preserve"> y permite identificar los pacientes que necesitan endoscopia inmediata.</w:t>
      </w:r>
    </w:p>
    <w:p w:rsidR="00C91521" w:rsidRDefault="00C91521" w:rsidP="002410CE">
      <w:pPr>
        <w:ind w:left="0"/>
      </w:pPr>
    </w:p>
    <w:p w:rsidR="00C91521" w:rsidRDefault="00C91521" w:rsidP="002410CE">
      <w:pPr>
        <w:ind w:left="0"/>
      </w:pPr>
    </w:p>
    <w:p w:rsidR="00A5573C" w:rsidRDefault="00A5573C" w:rsidP="002410CE">
      <w:pPr>
        <w:ind w:left="0"/>
        <w:jc w:val="center"/>
        <w:rPr>
          <w:b/>
        </w:rPr>
      </w:pPr>
    </w:p>
    <w:p w:rsidR="00A5573C" w:rsidRDefault="00A5573C" w:rsidP="002410CE">
      <w:pPr>
        <w:ind w:left="0"/>
        <w:jc w:val="center"/>
        <w:rPr>
          <w:b/>
        </w:rPr>
      </w:pPr>
    </w:p>
    <w:p w:rsidR="00A5573C" w:rsidRDefault="00A5573C" w:rsidP="002410CE">
      <w:pPr>
        <w:ind w:left="0"/>
        <w:jc w:val="center"/>
        <w:rPr>
          <w:b/>
        </w:rPr>
      </w:pPr>
    </w:p>
    <w:p w:rsidR="00A5573C" w:rsidRDefault="00A5573C"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A5573C" w:rsidRDefault="00A5573C"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5B5008" w:rsidRDefault="005B5008" w:rsidP="002410CE">
      <w:pPr>
        <w:ind w:left="0"/>
        <w:jc w:val="center"/>
        <w:rPr>
          <w:b/>
        </w:rPr>
      </w:pPr>
    </w:p>
    <w:p w:rsidR="0090232D" w:rsidRDefault="0090232D" w:rsidP="002410CE">
      <w:pPr>
        <w:ind w:left="0"/>
        <w:jc w:val="center"/>
        <w:rPr>
          <w:b/>
        </w:rPr>
      </w:pPr>
    </w:p>
    <w:p w:rsidR="0090232D" w:rsidRDefault="0090232D" w:rsidP="002410CE">
      <w:pPr>
        <w:ind w:left="0"/>
        <w:jc w:val="center"/>
        <w:rPr>
          <w:b/>
        </w:rPr>
      </w:pPr>
    </w:p>
    <w:p w:rsidR="0090232D" w:rsidRDefault="0090232D" w:rsidP="002410CE">
      <w:pPr>
        <w:ind w:left="0"/>
        <w:jc w:val="center"/>
        <w:rPr>
          <w:b/>
        </w:rPr>
      </w:pPr>
    </w:p>
    <w:p w:rsidR="0090232D" w:rsidRDefault="0090232D" w:rsidP="002410CE">
      <w:pPr>
        <w:ind w:left="0"/>
        <w:jc w:val="center"/>
        <w:rPr>
          <w:b/>
        </w:rPr>
      </w:pPr>
    </w:p>
    <w:p w:rsidR="0090232D" w:rsidRDefault="0090232D" w:rsidP="002410CE">
      <w:pPr>
        <w:ind w:left="0"/>
        <w:jc w:val="center"/>
        <w:rPr>
          <w:b/>
        </w:rPr>
      </w:pPr>
    </w:p>
    <w:p w:rsidR="005B5008" w:rsidRDefault="005B5008" w:rsidP="002410CE">
      <w:pPr>
        <w:ind w:left="0"/>
        <w:jc w:val="center"/>
        <w:rPr>
          <w:b/>
        </w:rPr>
      </w:pPr>
    </w:p>
    <w:p w:rsidR="00C7613C" w:rsidRDefault="00086CA1" w:rsidP="002410CE">
      <w:pPr>
        <w:ind w:left="0"/>
        <w:jc w:val="center"/>
        <w:rPr>
          <w:b/>
        </w:rPr>
      </w:pPr>
      <w:r>
        <w:rPr>
          <w:b/>
        </w:rPr>
        <w:t>6</w:t>
      </w:r>
      <w:r w:rsidR="00A5286C">
        <w:rPr>
          <w:b/>
        </w:rPr>
        <w:t xml:space="preserve">. </w:t>
      </w:r>
      <w:r w:rsidR="00C7613C" w:rsidRPr="00181D61">
        <w:rPr>
          <w:b/>
        </w:rPr>
        <w:t>DISEÑO METODOLOGICO</w:t>
      </w:r>
    </w:p>
    <w:p w:rsidR="00181D61" w:rsidRPr="00181D61" w:rsidRDefault="00181D61" w:rsidP="002410CE">
      <w:pPr>
        <w:ind w:left="0"/>
        <w:rPr>
          <w:b/>
        </w:rPr>
      </w:pPr>
    </w:p>
    <w:p w:rsidR="00C7613C" w:rsidRPr="00181D61" w:rsidRDefault="00912A98" w:rsidP="002410CE">
      <w:pPr>
        <w:ind w:left="0"/>
        <w:outlineLvl w:val="0"/>
        <w:rPr>
          <w:b/>
        </w:rPr>
      </w:pPr>
      <w:r w:rsidRPr="00181D61">
        <w:rPr>
          <w:b/>
        </w:rPr>
        <w:t>Tipo de investigación</w:t>
      </w:r>
    </w:p>
    <w:p w:rsidR="00F64182" w:rsidRDefault="00F64182" w:rsidP="002410CE">
      <w:pPr>
        <w:ind w:left="0"/>
      </w:pPr>
    </w:p>
    <w:p w:rsidR="00912A98" w:rsidRDefault="00912A98" w:rsidP="002410CE">
      <w:pPr>
        <w:ind w:left="0"/>
      </w:pPr>
      <w:r w:rsidRPr="00D704A4">
        <w:t>El presente estudio posee la siguiente tipificación:</w:t>
      </w:r>
    </w:p>
    <w:p w:rsidR="00824CC9" w:rsidRPr="00D704A4" w:rsidRDefault="00824CC9" w:rsidP="002410CE">
      <w:pPr>
        <w:ind w:left="0"/>
      </w:pPr>
    </w:p>
    <w:p w:rsidR="000A2C6C" w:rsidRDefault="009C7CB6" w:rsidP="002410CE">
      <w:pPr>
        <w:numPr>
          <w:ilvl w:val="0"/>
          <w:numId w:val="10"/>
        </w:numPr>
        <w:ind w:left="0"/>
      </w:pPr>
      <w:r>
        <w:t>Descriptivo</w:t>
      </w:r>
    </w:p>
    <w:p w:rsidR="009C7CB6" w:rsidRDefault="009C7CB6" w:rsidP="002410CE">
      <w:pPr>
        <w:numPr>
          <w:ilvl w:val="0"/>
          <w:numId w:val="10"/>
        </w:numPr>
        <w:ind w:left="0"/>
      </w:pPr>
      <w:r>
        <w:t>Serie de casos</w:t>
      </w:r>
    </w:p>
    <w:p w:rsidR="00912A98" w:rsidRPr="00D704A4" w:rsidRDefault="00E07A94" w:rsidP="002410CE">
      <w:pPr>
        <w:numPr>
          <w:ilvl w:val="0"/>
          <w:numId w:val="11"/>
        </w:numPr>
        <w:ind w:left="0"/>
      </w:pPr>
      <w:r>
        <w:t>P</w:t>
      </w:r>
      <w:r w:rsidR="002C0F42">
        <w:t>rospectivo</w:t>
      </w:r>
    </w:p>
    <w:p w:rsidR="00F64182" w:rsidRDefault="00F64182" w:rsidP="002410CE">
      <w:pPr>
        <w:ind w:left="0"/>
      </w:pPr>
    </w:p>
    <w:p w:rsidR="00912A98" w:rsidRPr="00D704A4" w:rsidRDefault="004E3C3B" w:rsidP="002410CE">
      <w:pPr>
        <w:ind w:left="0"/>
      </w:pPr>
      <w:r>
        <w:t>La</w:t>
      </w:r>
      <w:r w:rsidR="005B5008">
        <w:t xml:space="preserve"> búsqueda se </w:t>
      </w:r>
      <w:r w:rsidR="00C53865">
        <w:t>llevó</w:t>
      </w:r>
      <w:r w:rsidR="002C0F42">
        <w:t xml:space="preserve"> a cabo</w:t>
      </w:r>
      <w:r w:rsidR="00912A98" w:rsidRPr="00D704A4">
        <w:t xml:space="preserve"> dur</w:t>
      </w:r>
      <w:r w:rsidR="002F77FC">
        <w:t xml:space="preserve">ante </w:t>
      </w:r>
      <w:r w:rsidR="00637341">
        <w:t xml:space="preserve">el periodo del 1 de </w:t>
      </w:r>
      <w:r w:rsidR="000A2C6C">
        <w:t>M</w:t>
      </w:r>
      <w:r w:rsidR="000B1A56">
        <w:t>ayo</w:t>
      </w:r>
      <w:r w:rsidR="00C63FDC">
        <w:t xml:space="preserve"> al 30 de septiembre</w:t>
      </w:r>
      <w:r w:rsidR="00637341">
        <w:t xml:space="preserve"> de</w:t>
      </w:r>
      <w:r w:rsidR="00912A98" w:rsidRPr="00D704A4">
        <w:t>l año 20</w:t>
      </w:r>
      <w:r w:rsidR="00AD7F91">
        <w:t>1</w:t>
      </w:r>
      <w:r w:rsidR="000A2C6C">
        <w:t>1</w:t>
      </w:r>
      <w:r w:rsidR="00912A98" w:rsidRPr="00D704A4">
        <w:t>.</w:t>
      </w:r>
      <w:r w:rsidR="00C63FDC">
        <w:t xml:space="preserve"> En las clínicas de procedimientos de Gastroenterología y Archivos de los Hospitales General y </w:t>
      </w:r>
      <w:r w:rsidR="000D6725">
        <w:t>Médico Quirúrgico.   Se buscó</w:t>
      </w:r>
      <w:r w:rsidR="00C63FDC">
        <w:t xml:space="preserve"> en este periodo de tiempo aquellos paciente</w:t>
      </w:r>
      <w:r w:rsidR="000D6725">
        <w:t>s cuyos cuadros clínicos cumplieron</w:t>
      </w:r>
      <w:r w:rsidR="00C63FDC">
        <w:t xml:space="preserve"> con los criterios de inclusión para la elaboración del estudio</w:t>
      </w:r>
    </w:p>
    <w:p w:rsidR="00176CC1" w:rsidRPr="00D704A4" w:rsidRDefault="00176CC1" w:rsidP="002410CE">
      <w:pPr>
        <w:ind w:left="0"/>
      </w:pPr>
    </w:p>
    <w:p w:rsidR="00176CC1" w:rsidRPr="00181D61" w:rsidRDefault="00176CC1" w:rsidP="002410CE">
      <w:pPr>
        <w:ind w:left="0"/>
        <w:outlineLvl w:val="0"/>
        <w:rPr>
          <w:b/>
        </w:rPr>
      </w:pPr>
      <w:r w:rsidRPr="00181D61">
        <w:rPr>
          <w:b/>
        </w:rPr>
        <w:t xml:space="preserve">Variables </w:t>
      </w:r>
    </w:p>
    <w:p w:rsidR="00F64182" w:rsidRDefault="00F64182" w:rsidP="002410CE">
      <w:pPr>
        <w:ind w:left="0"/>
      </w:pPr>
    </w:p>
    <w:p w:rsidR="00176CC1" w:rsidRDefault="005B5008" w:rsidP="002410CE">
      <w:pPr>
        <w:ind w:left="0"/>
      </w:pPr>
      <w:r>
        <w:t>Se manejaro</w:t>
      </w:r>
      <w:r w:rsidR="00176CC1" w:rsidRPr="00D704A4">
        <w:t>n en el trabajo las siguientes variables:</w:t>
      </w:r>
    </w:p>
    <w:p w:rsidR="00081E36" w:rsidRDefault="00081E36" w:rsidP="002410CE">
      <w:pPr>
        <w:ind w:left="0"/>
      </w:pPr>
    </w:p>
    <w:p w:rsidR="00081E36" w:rsidRPr="0048097D" w:rsidRDefault="00081E36" w:rsidP="002410CE">
      <w:pPr>
        <w:ind w:left="0"/>
        <w:rPr>
          <w:b/>
        </w:rPr>
      </w:pPr>
      <w:r w:rsidRPr="0048097D">
        <w:rPr>
          <w:b/>
        </w:rPr>
        <w:t>Variables independientes:</w:t>
      </w:r>
    </w:p>
    <w:p w:rsidR="00C63FDC" w:rsidRPr="00C63FDC" w:rsidRDefault="00C63FDC" w:rsidP="00C63FDC">
      <w:pPr>
        <w:ind w:left="0"/>
      </w:pPr>
    </w:p>
    <w:p w:rsidR="00C63FDC" w:rsidRPr="0094197D" w:rsidRDefault="00C63FDC" w:rsidP="00C63FDC">
      <w:pPr>
        <w:ind w:left="0"/>
        <w:rPr>
          <w:b/>
        </w:rPr>
      </w:pPr>
      <w:r w:rsidRPr="0094197D">
        <w:rPr>
          <w:b/>
        </w:rPr>
        <w:t>Variables demográficas</w:t>
      </w:r>
    </w:p>
    <w:p w:rsidR="00C63FDC" w:rsidRPr="00C63FDC" w:rsidRDefault="00C63FDC" w:rsidP="00C63FDC">
      <w:pPr>
        <w:ind w:left="0"/>
      </w:pPr>
      <w:r w:rsidRPr="00C63FDC">
        <w:t>Edad: años cumplidos, variable discreta</w:t>
      </w:r>
    </w:p>
    <w:p w:rsidR="0094197D" w:rsidRDefault="00C63FDC" w:rsidP="0094197D">
      <w:pPr>
        <w:ind w:left="0"/>
      </w:pPr>
      <w:r w:rsidRPr="00C63FDC">
        <w:t>Género: masculino =1, femenino =2, variable nominal</w:t>
      </w:r>
      <w:r w:rsidR="00B84E1E">
        <w:t xml:space="preserve"> </w:t>
      </w:r>
      <w:r w:rsidRPr="00C63FDC">
        <w:t>dicotómica</w:t>
      </w:r>
    </w:p>
    <w:p w:rsidR="00057A7D" w:rsidRDefault="00057A7D" w:rsidP="0094197D">
      <w:pPr>
        <w:ind w:left="0"/>
        <w:rPr>
          <w:b/>
        </w:rPr>
      </w:pPr>
    </w:p>
    <w:p w:rsidR="00C63FDC" w:rsidRPr="0094197D" w:rsidRDefault="00C63FDC" w:rsidP="0094197D">
      <w:pPr>
        <w:ind w:left="0"/>
        <w:rPr>
          <w:b/>
        </w:rPr>
      </w:pPr>
      <w:r w:rsidRPr="0094197D">
        <w:rPr>
          <w:b/>
        </w:rPr>
        <w:t>Antecedentes clínicos</w:t>
      </w:r>
    </w:p>
    <w:p w:rsidR="00C63FDC" w:rsidRPr="00C63FDC" w:rsidRDefault="00C63FDC" w:rsidP="00C63FDC">
      <w:pPr>
        <w:ind w:left="0"/>
      </w:pPr>
      <w:r w:rsidRPr="0094197D">
        <w:rPr>
          <w:i/>
        </w:rPr>
        <w:t>Comorbilidad</w:t>
      </w:r>
      <w:r w:rsidRPr="00C63FDC">
        <w:t>: cualquier enfermedad que requiera</w:t>
      </w:r>
      <w:r w:rsidR="00B84E1E">
        <w:t xml:space="preserve"> </w:t>
      </w:r>
      <w:r w:rsidRPr="00C63FDC">
        <w:t>manejo médico a</w:t>
      </w:r>
      <w:r w:rsidR="00B84E1E">
        <w:t xml:space="preserve"> </w:t>
      </w:r>
      <w:r w:rsidRPr="00C63FDC">
        <w:t>permanencia como hipertensión,</w:t>
      </w:r>
      <w:r w:rsidR="00B84E1E">
        <w:t xml:space="preserve"> </w:t>
      </w:r>
      <w:r w:rsidRPr="00C63FDC">
        <w:t xml:space="preserve">enfermedad cardiovascular (IM previo, </w:t>
      </w:r>
      <w:r w:rsidR="0094197D">
        <w:t>a</w:t>
      </w:r>
      <w:r w:rsidRPr="00C63FDC">
        <w:t>ngina, ICC,</w:t>
      </w:r>
      <w:r w:rsidR="00B84E1E">
        <w:t xml:space="preserve"> </w:t>
      </w:r>
      <w:r w:rsidRPr="00C63FDC">
        <w:t>claudicación, procedimientos de revascularización),</w:t>
      </w:r>
      <w:r w:rsidR="00B84E1E">
        <w:t xml:space="preserve"> </w:t>
      </w:r>
      <w:r w:rsidRPr="00C63FDC">
        <w:t>diabetes, enfermedad cerebrovascular, enfermedad</w:t>
      </w:r>
      <w:r w:rsidR="00B84E1E">
        <w:t xml:space="preserve"> </w:t>
      </w:r>
      <w:r w:rsidRPr="00C63FDC">
        <w:t xml:space="preserve">pulmonar obstructiva crónica </w:t>
      </w:r>
      <w:r w:rsidR="0094197D">
        <w:t>(</w:t>
      </w:r>
      <w:r w:rsidRPr="00C63FDC">
        <w:t>EPOC), enfermedad</w:t>
      </w:r>
      <w:r w:rsidR="00B84E1E">
        <w:t xml:space="preserve"> </w:t>
      </w:r>
      <w:r w:rsidRPr="00C63FDC">
        <w:t>renal crónica (ERC), asma bronquial, etc. Variable</w:t>
      </w:r>
      <w:r w:rsidR="00B84E1E">
        <w:t xml:space="preserve"> </w:t>
      </w:r>
      <w:r w:rsidRPr="00C63FDC">
        <w:t>nominal dicotómica y categórica</w:t>
      </w:r>
      <w:r w:rsidR="0094197D">
        <w:t>.</w:t>
      </w:r>
    </w:p>
    <w:p w:rsidR="00CD33DC" w:rsidRDefault="00C63FDC" w:rsidP="00C63FDC">
      <w:pPr>
        <w:ind w:left="0"/>
      </w:pPr>
      <w:r w:rsidRPr="0094197D">
        <w:rPr>
          <w:i/>
        </w:rPr>
        <w:t>Consumo de AINES</w:t>
      </w:r>
      <w:r w:rsidRPr="00C63FDC">
        <w:t>: consumo de aspirina o cualquier</w:t>
      </w:r>
      <w:r w:rsidR="00B84E1E">
        <w:t xml:space="preserve"> </w:t>
      </w:r>
      <w:r w:rsidRPr="00C63FDC">
        <w:t>AINE en cualquier dosis y periodicidad dentro</w:t>
      </w:r>
      <w:r w:rsidR="00B84E1E">
        <w:t xml:space="preserve"> </w:t>
      </w:r>
      <w:r w:rsidRPr="00C63FDC">
        <w:t>del mes anterior. Se especificará el medicamento,</w:t>
      </w:r>
      <w:r w:rsidR="00B84E1E">
        <w:t xml:space="preserve"> </w:t>
      </w:r>
      <w:r w:rsidRPr="00C63FDC">
        <w:t>dosis, vía de administración, frecuencia de consumo</w:t>
      </w:r>
      <w:r w:rsidR="00B84E1E">
        <w:t xml:space="preserve"> </w:t>
      </w:r>
      <w:r w:rsidRPr="00C63FDC">
        <w:t>y el tiempo que lleva recibiéndolo</w:t>
      </w:r>
      <w:r w:rsidR="00B84E1E">
        <w:t xml:space="preserve"> </w:t>
      </w:r>
      <w:r w:rsidRPr="00B84E1E">
        <w:rPr>
          <w:i/>
        </w:rPr>
        <w:t>Consumo de anticoagulantes</w:t>
      </w:r>
      <w:r w:rsidRPr="00C63FDC">
        <w:t>: serán admitidos y registrados</w:t>
      </w:r>
      <w:r w:rsidR="00B84E1E">
        <w:t xml:space="preserve"> </w:t>
      </w:r>
      <w:r w:rsidRPr="00C63FDC">
        <w:t>igual que en el numeral anterior si cualquiera</w:t>
      </w:r>
      <w:r w:rsidR="00B84E1E">
        <w:t xml:space="preserve"> </w:t>
      </w:r>
      <w:r w:rsidRPr="00C63FDC">
        <w:t>de estas drogas ha sido consumida dentro de</w:t>
      </w:r>
      <w:r w:rsidR="00B84E1E">
        <w:t xml:space="preserve"> </w:t>
      </w:r>
      <w:r w:rsidRPr="00C63FDC">
        <w:t>la última semana</w:t>
      </w:r>
    </w:p>
    <w:p w:rsidR="0094197D" w:rsidRDefault="0094197D" w:rsidP="0094197D">
      <w:pPr>
        <w:ind w:left="0"/>
      </w:pPr>
      <w:r w:rsidRPr="001956CD">
        <w:rPr>
          <w:i/>
        </w:rPr>
        <w:lastRenderedPageBreak/>
        <w:t>Consumo habitual de otros medicamentos</w:t>
      </w:r>
      <w:r>
        <w:t>: serán anotados los medicamentos diferentes a los anteriores, que los pacientes consuman con una periodicidad mínima de una vez por semana</w:t>
      </w:r>
    </w:p>
    <w:p w:rsidR="000D6725" w:rsidRDefault="000D6725" w:rsidP="0094197D">
      <w:pPr>
        <w:ind w:left="0"/>
        <w:rPr>
          <w:b/>
        </w:rPr>
      </w:pPr>
    </w:p>
    <w:p w:rsidR="0094197D" w:rsidRPr="0094197D" w:rsidRDefault="0094197D" w:rsidP="0094197D">
      <w:pPr>
        <w:ind w:left="0"/>
        <w:rPr>
          <w:b/>
        </w:rPr>
      </w:pPr>
      <w:r w:rsidRPr="0094197D">
        <w:rPr>
          <w:b/>
        </w:rPr>
        <w:t>Hallazgos clínicos al ingreso</w:t>
      </w:r>
    </w:p>
    <w:p w:rsidR="0094197D" w:rsidRDefault="0094197D" w:rsidP="0094197D">
      <w:pPr>
        <w:ind w:left="0"/>
      </w:pPr>
    </w:p>
    <w:p w:rsidR="0094197D" w:rsidRDefault="0094197D" w:rsidP="0094197D">
      <w:pPr>
        <w:ind w:left="0"/>
      </w:pPr>
      <w:r w:rsidRPr="001956CD">
        <w:rPr>
          <w:i/>
        </w:rPr>
        <w:t>Lipotimia</w:t>
      </w:r>
      <w:r>
        <w:t>: mareo sin pérdida de la conciencia</w:t>
      </w:r>
    </w:p>
    <w:p w:rsidR="0094197D" w:rsidRDefault="0094197D" w:rsidP="0094197D">
      <w:pPr>
        <w:ind w:left="0"/>
      </w:pPr>
    </w:p>
    <w:p w:rsidR="0094197D" w:rsidRDefault="0094197D" w:rsidP="0094197D">
      <w:pPr>
        <w:ind w:left="0"/>
      </w:pPr>
      <w:r w:rsidRPr="00A94D24">
        <w:rPr>
          <w:i/>
        </w:rPr>
        <w:t>Lavado gástrico positivo</w:t>
      </w:r>
      <w:r>
        <w:t>: material aspirado por SNG de aspecto rojo brillante o café oscuro que no aclara a pesar de la instilación de 500 cc de solución salina normal</w:t>
      </w:r>
    </w:p>
    <w:p w:rsidR="000D6725" w:rsidRDefault="000D6725" w:rsidP="0094197D">
      <w:pPr>
        <w:ind w:left="0"/>
        <w:rPr>
          <w:i/>
        </w:rPr>
      </w:pPr>
    </w:p>
    <w:p w:rsidR="00FF0902" w:rsidRDefault="00FF0902" w:rsidP="0094197D">
      <w:pPr>
        <w:ind w:left="0"/>
      </w:pPr>
      <w:r>
        <w:rPr>
          <w:i/>
        </w:rPr>
        <w:t xml:space="preserve">Anemia: </w:t>
      </w:r>
      <w:r>
        <w:t>nivel de hemoglobina menor a 8 gr/dl.</w:t>
      </w:r>
    </w:p>
    <w:p w:rsidR="00FF0902" w:rsidRPr="00FF0902" w:rsidRDefault="00FF0902" w:rsidP="0094197D">
      <w:pPr>
        <w:ind w:left="0"/>
      </w:pPr>
    </w:p>
    <w:p w:rsidR="0094197D" w:rsidRDefault="0094197D" w:rsidP="0094197D">
      <w:pPr>
        <w:ind w:left="0"/>
      </w:pPr>
      <w:r w:rsidRPr="00A94D24">
        <w:rPr>
          <w:i/>
        </w:rPr>
        <w:t>Hemorragia gastrointestinal superior aguda</w:t>
      </w:r>
      <w:r>
        <w:t>. Cualquiera de los siguientes 4 criterios:</w:t>
      </w:r>
    </w:p>
    <w:p w:rsidR="0094197D" w:rsidRDefault="0094197D" w:rsidP="0094197D">
      <w:pPr>
        <w:ind w:left="0"/>
      </w:pPr>
      <w:r>
        <w:t>1. Hematemesis</w:t>
      </w:r>
    </w:p>
    <w:p w:rsidR="0094197D" w:rsidRDefault="0094197D" w:rsidP="0094197D">
      <w:pPr>
        <w:ind w:left="0"/>
      </w:pPr>
      <w:r>
        <w:t>2. Melanemesis</w:t>
      </w:r>
    </w:p>
    <w:p w:rsidR="0094197D" w:rsidRDefault="0094197D" w:rsidP="0094197D">
      <w:pPr>
        <w:ind w:left="0"/>
      </w:pPr>
      <w:r>
        <w:t>3. Melenas</w:t>
      </w:r>
    </w:p>
    <w:p w:rsidR="0094197D" w:rsidRDefault="000D6725" w:rsidP="0094197D">
      <w:pPr>
        <w:ind w:left="0"/>
      </w:pPr>
      <w:r>
        <w:t>4.</w:t>
      </w:r>
      <w:r w:rsidR="00A9470A">
        <w:t xml:space="preserve"> </w:t>
      </w:r>
      <w:proofErr w:type="spellStart"/>
      <w:r w:rsidR="0094197D">
        <w:t>Rectorragia</w:t>
      </w:r>
      <w:proofErr w:type="spellEnd"/>
      <w:r w:rsidR="0094197D">
        <w:t xml:space="preserve"> con inestabilidad hemodinámica y endoscopia demostrativa de lesión gastrointestinal (GI) superior como fuente de sangrado o lavado gástrico positivo</w:t>
      </w:r>
    </w:p>
    <w:p w:rsidR="000D6725" w:rsidRDefault="000D6725" w:rsidP="0094197D">
      <w:pPr>
        <w:ind w:left="0"/>
        <w:rPr>
          <w:i/>
        </w:rPr>
      </w:pPr>
    </w:p>
    <w:p w:rsidR="0094197D" w:rsidRDefault="0094197D" w:rsidP="0094197D">
      <w:pPr>
        <w:ind w:left="0"/>
      </w:pPr>
      <w:r w:rsidRPr="00A94D24">
        <w:rPr>
          <w:i/>
        </w:rPr>
        <w:t>Inestabilidad hemodinámica</w:t>
      </w:r>
      <w:r>
        <w:t>: frecuencia cardiaca mayor 100 pulsaciones por minuto y/o</w:t>
      </w:r>
      <w:r w:rsidR="000D6725">
        <w:t xml:space="preserve"> tensión arterial sistólica meno</w:t>
      </w:r>
      <w:r>
        <w:t xml:space="preserve">r a 100 mmHg y/o un incremento en la frecuencia cardiaca en más de 10 al cambiar de la posición supina a la sentada Definiciones endoscópicas </w:t>
      </w:r>
    </w:p>
    <w:p w:rsidR="000D6725" w:rsidRDefault="000D6725" w:rsidP="0094197D">
      <w:pPr>
        <w:ind w:left="0"/>
        <w:rPr>
          <w:i/>
        </w:rPr>
      </w:pPr>
    </w:p>
    <w:p w:rsidR="0094197D" w:rsidRDefault="0094197D" w:rsidP="0094197D">
      <w:pPr>
        <w:ind w:left="0"/>
      </w:pPr>
      <w:r w:rsidRPr="00A94D24">
        <w:rPr>
          <w:i/>
        </w:rPr>
        <w:t>Úlcera gástrica</w:t>
      </w:r>
      <w:r>
        <w:t>: solución de continuidad de la mucosa circunscrita con al menos 5 mm de diámetro y con una profundidad perceptible</w:t>
      </w:r>
    </w:p>
    <w:p w:rsidR="0094197D" w:rsidRDefault="0094197D" w:rsidP="0094197D">
      <w:pPr>
        <w:ind w:left="0"/>
      </w:pPr>
      <w:r>
        <w:t xml:space="preserve">Úlcera </w:t>
      </w:r>
      <w:proofErr w:type="spellStart"/>
      <w:r>
        <w:t>Forrest</w:t>
      </w:r>
      <w:proofErr w:type="spellEnd"/>
      <w:r>
        <w:t xml:space="preserve"> IA: evidencia de sangrado a chorro o en jet</w:t>
      </w:r>
    </w:p>
    <w:p w:rsidR="0094197D" w:rsidRDefault="0094197D" w:rsidP="0094197D">
      <w:pPr>
        <w:ind w:left="0"/>
      </w:pPr>
      <w:r>
        <w:t xml:space="preserve">Úlcera </w:t>
      </w:r>
      <w:proofErr w:type="spellStart"/>
      <w:r>
        <w:t>Forrest</w:t>
      </w:r>
      <w:proofErr w:type="spellEnd"/>
      <w:r>
        <w:t xml:space="preserve"> IB: sangrado activo en escurrimiento</w:t>
      </w:r>
    </w:p>
    <w:p w:rsidR="0094197D" w:rsidRDefault="0094197D" w:rsidP="0094197D">
      <w:pPr>
        <w:ind w:left="0"/>
      </w:pPr>
      <w:r>
        <w:t xml:space="preserve">Úlcera </w:t>
      </w:r>
      <w:proofErr w:type="spellStart"/>
      <w:r>
        <w:t>Forrest</w:t>
      </w:r>
      <w:proofErr w:type="spellEnd"/>
      <w:r>
        <w:t xml:space="preserve"> IIA: evidencia de vaso visible</w:t>
      </w:r>
    </w:p>
    <w:p w:rsidR="0094197D" w:rsidRDefault="0094197D" w:rsidP="0094197D">
      <w:pPr>
        <w:ind w:left="0"/>
      </w:pPr>
      <w:r>
        <w:t xml:space="preserve">Úlcera </w:t>
      </w:r>
      <w:proofErr w:type="spellStart"/>
      <w:r>
        <w:t>Forrest</w:t>
      </w:r>
      <w:proofErr w:type="spellEnd"/>
      <w:r>
        <w:t xml:space="preserve"> IIB: coágulo adherido a la base de la úlcera</w:t>
      </w:r>
    </w:p>
    <w:p w:rsidR="0094197D" w:rsidRDefault="0094197D" w:rsidP="0094197D">
      <w:pPr>
        <w:ind w:left="0"/>
      </w:pPr>
      <w:r>
        <w:t xml:space="preserve">Úlcera </w:t>
      </w:r>
      <w:proofErr w:type="spellStart"/>
      <w:r>
        <w:t>Forrest</w:t>
      </w:r>
      <w:proofErr w:type="spellEnd"/>
      <w:r>
        <w:t xml:space="preserve"> IIC: mancha plana sobre la base de la úlcera</w:t>
      </w:r>
    </w:p>
    <w:p w:rsidR="0094197D" w:rsidRDefault="0094197D" w:rsidP="0094197D">
      <w:pPr>
        <w:ind w:left="0"/>
      </w:pPr>
      <w:r>
        <w:t xml:space="preserve">Úlcera </w:t>
      </w:r>
      <w:proofErr w:type="spellStart"/>
      <w:r>
        <w:t>Forrest</w:t>
      </w:r>
      <w:proofErr w:type="spellEnd"/>
      <w:r>
        <w:t xml:space="preserve"> III: base sólo cubierta por fibrina</w:t>
      </w:r>
    </w:p>
    <w:p w:rsidR="00FF0902" w:rsidRDefault="00FF0902" w:rsidP="0094197D">
      <w:pPr>
        <w:ind w:left="0"/>
        <w:rPr>
          <w:i/>
        </w:rPr>
      </w:pPr>
    </w:p>
    <w:p w:rsidR="0094197D" w:rsidRDefault="0094197D" w:rsidP="0094197D">
      <w:pPr>
        <w:ind w:left="0"/>
      </w:pPr>
      <w:r w:rsidRPr="00A94D24">
        <w:rPr>
          <w:i/>
        </w:rPr>
        <w:t>Erosión sangrante</w:t>
      </w:r>
      <w:r>
        <w:t>: solución de continuidad de la mucosa menor de 5 mm de aspecto plano con presencia de sangre en el estómago o el duodeno</w:t>
      </w:r>
    </w:p>
    <w:p w:rsidR="0094197D" w:rsidRDefault="0094197D" w:rsidP="0094197D">
      <w:pPr>
        <w:ind w:left="0"/>
      </w:pPr>
    </w:p>
    <w:p w:rsidR="0094197D" w:rsidRDefault="0094197D" w:rsidP="0094197D">
      <w:pPr>
        <w:ind w:left="0"/>
      </w:pPr>
      <w:r w:rsidRPr="00A94D24">
        <w:rPr>
          <w:i/>
        </w:rPr>
        <w:t xml:space="preserve">Sangrado de origen </w:t>
      </w:r>
      <w:proofErr w:type="spellStart"/>
      <w:r w:rsidRPr="00A94D24">
        <w:rPr>
          <w:i/>
        </w:rPr>
        <w:t>varicial</w:t>
      </w:r>
      <w:proofErr w:type="spellEnd"/>
      <w:r>
        <w:t>: sangre que emana de una várice o presencia de signos de inminencia de sangrado sin otra lesión que explique el sangrado digestivo alto</w:t>
      </w:r>
    </w:p>
    <w:p w:rsidR="00FF0902" w:rsidRDefault="00FF0902" w:rsidP="0094197D">
      <w:pPr>
        <w:ind w:left="0"/>
        <w:rPr>
          <w:i/>
        </w:rPr>
      </w:pPr>
    </w:p>
    <w:p w:rsidR="0094197D" w:rsidRPr="0094197D" w:rsidRDefault="0094197D" w:rsidP="0094197D">
      <w:pPr>
        <w:ind w:left="0"/>
        <w:rPr>
          <w:b/>
        </w:rPr>
      </w:pPr>
      <w:r w:rsidRPr="0094197D">
        <w:rPr>
          <w:b/>
        </w:rPr>
        <w:lastRenderedPageBreak/>
        <w:t>Variables dependientes</w:t>
      </w:r>
    </w:p>
    <w:p w:rsidR="00FF0902" w:rsidRDefault="00FF0902" w:rsidP="0094197D">
      <w:pPr>
        <w:ind w:left="0"/>
      </w:pPr>
    </w:p>
    <w:p w:rsidR="0094197D" w:rsidRDefault="0094197D" w:rsidP="0094197D">
      <w:pPr>
        <w:ind w:left="0"/>
      </w:pPr>
      <w:r w:rsidRPr="00FF0902">
        <w:rPr>
          <w:i/>
        </w:rPr>
        <w:t>Sangrado activo</w:t>
      </w:r>
      <w:r>
        <w:t>: cualquier lesión endoscópica que presente sangrado a chorro o escurrimiento en capa.</w:t>
      </w:r>
    </w:p>
    <w:p w:rsidR="0094197D" w:rsidRDefault="0094197D" w:rsidP="0094197D">
      <w:pPr>
        <w:ind w:left="0"/>
      </w:pPr>
    </w:p>
    <w:p w:rsidR="00FF0902" w:rsidRDefault="00FF0902" w:rsidP="0094197D">
      <w:pPr>
        <w:ind w:left="0"/>
      </w:pPr>
    </w:p>
    <w:p w:rsidR="003F2200" w:rsidRDefault="003F2200" w:rsidP="002410CE">
      <w:pPr>
        <w:ind w:left="0"/>
      </w:pPr>
      <w:r>
        <w:rPr>
          <w:b/>
        </w:rPr>
        <w:t>Criterios de inclusión</w:t>
      </w:r>
    </w:p>
    <w:p w:rsidR="003F2200" w:rsidRDefault="003F2200" w:rsidP="002410CE">
      <w:pPr>
        <w:ind w:left="0"/>
      </w:pPr>
      <w:r>
        <w:t>Serán incluidos aquellos pacientes que cumplan con los siguientes criterios:</w:t>
      </w:r>
    </w:p>
    <w:p w:rsidR="002410CE" w:rsidRPr="002410CE" w:rsidRDefault="002410CE" w:rsidP="002410CE">
      <w:pPr>
        <w:pStyle w:val="ListParagraph"/>
        <w:numPr>
          <w:ilvl w:val="1"/>
          <w:numId w:val="5"/>
        </w:numPr>
        <w:autoSpaceDE w:val="0"/>
        <w:autoSpaceDN w:val="0"/>
        <w:adjustRightInd w:val="0"/>
        <w:ind w:left="0" w:hanging="425"/>
        <w:jc w:val="left"/>
      </w:pPr>
      <w:r w:rsidRPr="002410CE">
        <w:t>Edad mayor de 18 años</w:t>
      </w:r>
    </w:p>
    <w:p w:rsidR="002410CE" w:rsidRDefault="002410CE" w:rsidP="002410CE">
      <w:pPr>
        <w:pStyle w:val="ListParagraph"/>
        <w:numPr>
          <w:ilvl w:val="1"/>
          <w:numId w:val="5"/>
        </w:numPr>
        <w:autoSpaceDE w:val="0"/>
        <w:autoSpaceDN w:val="0"/>
        <w:adjustRightInd w:val="0"/>
        <w:ind w:left="0" w:hanging="425"/>
        <w:jc w:val="left"/>
      </w:pPr>
      <w:r w:rsidRPr="002410CE">
        <w:t>Diagnóstico clínico de HDA fundamentado en al menos uno de</w:t>
      </w:r>
      <w:r w:rsidR="00A9470A">
        <w:t xml:space="preserve"> </w:t>
      </w:r>
      <w:r w:rsidRPr="002410CE">
        <w:t>los siguientes criterios:</w:t>
      </w:r>
    </w:p>
    <w:p w:rsidR="002410CE" w:rsidRDefault="002410CE" w:rsidP="002410CE">
      <w:pPr>
        <w:pStyle w:val="ListParagraph"/>
        <w:numPr>
          <w:ilvl w:val="1"/>
          <w:numId w:val="4"/>
        </w:numPr>
        <w:autoSpaceDE w:val="0"/>
        <w:autoSpaceDN w:val="0"/>
        <w:adjustRightInd w:val="0"/>
        <w:ind w:left="0"/>
        <w:jc w:val="left"/>
      </w:pPr>
      <w:r w:rsidRPr="002410CE">
        <w:t>Hematemesis franca</w:t>
      </w:r>
    </w:p>
    <w:p w:rsidR="002410CE" w:rsidRPr="002410CE" w:rsidRDefault="002410CE" w:rsidP="002410CE">
      <w:pPr>
        <w:pStyle w:val="ListParagraph"/>
        <w:numPr>
          <w:ilvl w:val="1"/>
          <w:numId w:val="4"/>
        </w:numPr>
        <w:autoSpaceDE w:val="0"/>
        <w:autoSpaceDN w:val="0"/>
        <w:adjustRightInd w:val="0"/>
        <w:ind w:left="0"/>
        <w:jc w:val="left"/>
      </w:pPr>
      <w:r w:rsidRPr="002410CE">
        <w:t>Vómito en “pozol de café” (melanemesis).</w:t>
      </w:r>
    </w:p>
    <w:p w:rsidR="00CD33DC" w:rsidRPr="002410CE" w:rsidRDefault="002410CE" w:rsidP="002410CE">
      <w:pPr>
        <w:pStyle w:val="ListParagraph"/>
        <w:numPr>
          <w:ilvl w:val="1"/>
          <w:numId w:val="4"/>
        </w:numPr>
        <w:autoSpaceDE w:val="0"/>
        <w:autoSpaceDN w:val="0"/>
        <w:adjustRightInd w:val="0"/>
        <w:ind w:left="0"/>
        <w:jc w:val="left"/>
      </w:pPr>
      <w:r w:rsidRPr="002410CE">
        <w:t>Melenas</w:t>
      </w:r>
    </w:p>
    <w:p w:rsidR="003F2200" w:rsidRDefault="003F2200" w:rsidP="002410CE">
      <w:pPr>
        <w:ind w:left="0"/>
      </w:pPr>
    </w:p>
    <w:p w:rsidR="002410CE" w:rsidRPr="0048097D" w:rsidRDefault="00A5573C" w:rsidP="002410CE">
      <w:pPr>
        <w:ind w:left="0"/>
        <w:rPr>
          <w:b/>
        </w:rPr>
      </w:pPr>
      <w:r>
        <w:rPr>
          <w:b/>
        </w:rPr>
        <w:t>C</w:t>
      </w:r>
      <w:r w:rsidR="0048097D" w:rsidRPr="0048097D">
        <w:rPr>
          <w:b/>
        </w:rPr>
        <w:t>riterios de exclusión</w:t>
      </w:r>
    </w:p>
    <w:p w:rsidR="0048097D" w:rsidRPr="0048097D" w:rsidRDefault="00594C22" w:rsidP="0048097D">
      <w:pPr>
        <w:pStyle w:val="ListParagraph"/>
        <w:numPr>
          <w:ilvl w:val="0"/>
          <w:numId w:val="11"/>
        </w:numPr>
        <w:autoSpaceDE w:val="0"/>
        <w:autoSpaceDN w:val="0"/>
        <w:adjustRightInd w:val="0"/>
      </w:pPr>
      <w:r>
        <w:t>Infarto agudo de</w:t>
      </w:r>
      <w:r w:rsidR="0048097D" w:rsidRPr="0048097D">
        <w:t xml:space="preserve"> miocardio en las últimas tres semanas</w:t>
      </w:r>
    </w:p>
    <w:p w:rsidR="0048097D" w:rsidRPr="0048097D" w:rsidRDefault="0048097D" w:rsidP="0048097D">
      <w:pPr>
        <w:pStyle w:val="ListParagraph"/>
        <w:numPr>
          <w:ilvl w:val="0"/>
          <w:numId w:val="11"/>
        </w:numPr>
        <w:autoSpaceDE w:val="0"/>
        <w:autoSpaceDN w:val="0"/>
        <w:adjustRightInd w:val="0"/>
      </w:pPr>
      <w:r w:rsidRPr="0048097D">
        <w:t>Enfermedad cerebrovascular aguda en las últimastres semanas</w:t>
      </w:r>
    </w:p>
    <w:p w:rsidR="0048097D" w:rsidRPr="0048097D" w:rsidRDefault="0048097D" w:rsidP="0048097D">
      <w:pPr>
        <w:pStyle w:val="ListParagraph"/>
        <w:numPr>
          <w:ilvl w:val="0"/>
          <w:numId w:val="11"/>
        </w:numPr>
        <w:autoSpaceDE w:val="0"/>
        <w:autoSpaceDN w:val="0"/>
        <w:adjustRightInd w:val="0"/>
      </w:pPr>
      <w:r w:rsidRPr="0048097D">
        <w:t>Falla cardiaca congestiva severa (grado IV)</w:t>
      </w:r>
    </w:p>
    <w:p w:rsidR="0048097D" w:rsidRPr="0048097D" w:rsidRDefault="0048097D" w:rsidP="0048097D">
      <w:pPr>
        <w:pStyle w:val="ListParagraph"/>
        <w:numPr>
          <w:ilvl w:val="0"/>
          <w:numId w:val="11"/>
        </w:numPr>
        <w:autoSpaceDE w:val="0"/>
        <w:autoSpaceDN w:val="0"/>
        <w:adjustRightInd w:val="0"/>
      </w:pPr>
      <w:r w:rsidRPr="0048097D">
        <w:t>Falla respiratoria severa</w:t>
      </w:r>
    </w:p>
    <w:p w:rsidR="0048097D" w:rsidRDefault="0048097D" w:rsidP="0048097D">
      <w:pPr>
        <w:pStyle w:val="ListParagraph"/>
        <w:numPr>
          <w:ilvl w:val="0"/>
          <w:numId w:val="11"/>
        </w:numPr>
        <w:autoSpaceDE w:val="0"/>
        <w:autoSpaceDN w:val="0"/>
        <w:adjustRightInd w:val="0"/>
      </w:pPr>
      <w:r w:rsidRPr="0048097D">
        <w:t>Alteraciones hematológicas severas</w:t>
      </w:r>
    </w:p>
    <w:p w:rsidR="00C63FDC" w:rsidRPr="0048097D" w:rsidRDefault="00C63FDC" w:rsidP="00C63FDC">
      <w:pPr>
        <w:pStyle w:val="ListParagraph"/>
        <w:numPr>
          <w:ilvl w:val="1"/>
          <w:numId w:val="11"/>
        </w:numPr>
        <w:autoSpaceDE w:val="0"/>
        <w:autoSpaceDN w:val="0"/>
        <w:adjustRightInd w:val="0"/>
      </w:pPr>
      <w:r>
        <w:t>Hemofilias, CID crónico</w:t>
      </w:r>
    </w:p>
    <w:p w:rsidR="0048097D" w:rsidRPr="0048097D" w:rsidRDefault="0048097D" w:rsidP="0048097D">
      <w:pPr>
        <w:pStyle w:val="ListParagraph"/>
        <w:numPr>
          <w:ilvl w:val="0"/>
          <w:numId w:val="11"/>
        </w:numPr>
        <w:autoSpaceDE w:val="0"/>
        <w:autoSpaceDN w:val="0"/>
        <w:adjustRightInd w:val="0"/>
      </w:pPr>
      <w:r w:rsidRPr="0048097D">
        <w:t>Consumo de anticoagulantes/Anticoagulación</w:t>
      </w:r>
    </w:p>
    <w:p w:rsidR="0048097D" w:rsidRPr="0048097D" w:rsidRDefault="0048097D" w:rsidP="0048097D">
      <w:pPr>
        <w:pStyle w:val="ListParagraph"/>
        <w:numPr>
          <w:ilvl w:val="0"/>
          <w:numId w:val="11"/>
        </w:numPr>
        <w:autoSpaceDE w:val="0"/>
        <w:autoSpaceDN w:val="0"/>
        <w:adjustRightInd w:val="0"/>
      </w:pPr>
      <w:r w:rsidRPr="0048097D">
        <w:t>Sangrado intrahospitalario</w:t>
      </w:r>
    </w:p>
    <w:p w:rsidR="0048097D" w:rsidRPr="0048097D" w:rsidRDefault="0048097D" w:rsidP="0048097D">
      <w:pPr>
        <w:pStyle w:val="ListParagraph"/>
        <w:numPr>
          <w:ilvl w:val="0"/>
          <w:numId w:val="11"/>
        </w:numPr>
        <w:autoSpaceDE w:val="0"/>
        <w:autoSpaceDN w:val="0"/>
        <w:adjustRightInd w:val="0"/>
      </w:pPr>
      <w:r w:rsidRPr="0048097D">
        <w:t>Sospecha de perforación de víscera hueca</w:t>
      </w:r>
    </w:p>
    <w:p w:rsidR="0048097D" w:rsidRPr="0048097D" w:rsidRDefault="0048097D" w:rsidP="0048097D">
      <w:pPr>
        <w:pStyle w:val="ListParagraph"/>
        <w:numPr>
          <w:ilvl w:val="0"/>
          <w:numId w:val="11"/>
        </w:numPr>
      </w:pPr>
      <w:r w:rsidRPr="0048097D">
        <w:t>Embarazo</w:t>
      </w:r>
    </w:p>
    <w:p w:rsidR="002410CE" w:rsidRDefault="002410CE" w:rsidP="002410CE">
      <w:pPr>
        <w:ind w:left="0"/>
      </w:pPr>
    </w:p>
    <w:p w:rsidR="00A747A1" w:rsidRPr="00181D61" w:rsidRDefault="00176CC1" w:rsidP="002410CE">
      <w:pPr>
        <w:ind w:left="0"/>
        <w:outlineLvl w:val="0"/>
        <w:rPr>
          <w:b/>
        </w:rPr>
      </w:pPr>
      <w:r w:rsidRPr="00181D61">
        <w:rPr>
          <w:b/>
        </w:rPr>
        <w:t>Universo y muestra</w:t>
      </w:r>
    </w:p>
    <w:p w:rsidR="00081E36" w:rsidRDefault="00081E36" w:rsidP="002410CE">
      <w:pPr>
        <w:ind w:left="0"/>
        <w:rPr>
          <w:b/>
        </w:rPr>
      </w:pPr>
    </w:p>
    <w:p w:rsidR="003704CC" w:rsidRDefault="003704CC" w:rsidP="002410CE">
      <w:pPr>
        <w:ind w:left="0"/>
        <w:rPr>
          <w:b/>
        </w:rPr>
      </w:pPr>
      <w:r w:rsidRPr="003704CC">
        <w:rPr>
          <w:b/>
        </w:rPr>
        <w:t>Área de estudio (Universo)</w:t>
      </w:r>
    </w:p>
    <w:p w:rsidR="00D93314" w:rsidRPr="003704CC" w:rsidRDefault="00D93314" w:rsidP="002410CE">
      <w:pPr>
        <w:ind w:left="0"/>
        <w:rPr>
          <w:b/>
        </w:rPr>
      </w:pPr>
    </w:p>
    <w:p w:rsidR="00D93314" w:rsidRDefault="002410CE" w:rsidP="00161903">
      <w:pPr>
        <w:autoSpaceDE w:val="0"/>
        <w:autoSpaceDN w:val="0"/>
        <w:adjustRightInd w:val="0"/>
        <w:ind w:left="0"/>
      </w:pPr>
      <w:r w:rsidRPr="002410CE">
        <w:t>La población cor</w:t>
      </w:r>
      <w:r w:rsidR="00A94D24">
        <w:t>responde a los pacientes con sangrado de tubo digestivo superior y se les realizo endoscopia de tubo digestivo superior y fueron</w:t>
      </w:r>
      <w:r w:rsidRPr="002410CE">
        <w:t xml:space="preserve"> atendidos en </w:t>
      </w:r>
      <w:r w:rsidR="00A94D24">
        <w:t>los hospitales</w:t>
      </w:r>
      <w:r w:rsidR="00A9470A">
        <w:t xml:space="preserve"> </w:t>
      </w:r>
      <w:r w:rsidR="00A94D24">
        <w:t xml:space="preserve">General y </w:t>
      </w:r>
      <w:r w:rsidR="00FF0902">
        <w:t>Médico</w:t>
      </w:r>
      <w:r w:rsidR="00A94D24">
        <w:t xml:space="preserve"> Quirúrgico.</w:t>
      </w:r>
    </w:p>
    <w:p w:rsidR="00C35FC5" w:rsidRDefault="00C35FC5" w:rsidP="002410CE">
      <w:pPr>
        <w:ind w:left="0"/>
      </w:pPr>
    </w:p>
    <w:p w:rsidR="003704CC" w:rsidRPr="00045816" w:rsidRDefault="00045816" w:rsidP="002410CE">
      <w:pPr>
        <w:ind w:left="0"/>
        <w:rPr>
          <w:b/>
        </w:rPr>
      </w:pPr>
      <w:r w:rsidRPr="00045816">
        <w:rPr>
          <w:b/>
        </w:rPr>
        <w:t xml:space="preserve">Muestra </w:t>
      </w:r>
    </w:p>
    <w:p w:rsidR="00C35FC5" w:rsidRDefault="00C35FC5" w:rsidP="002410CE">
      <w:pPr>
        <w:ind w:left="0"/>
      </w:pPr>
    </w:p>
    <w:p w:rsidR="00B7499A" w:rsidRDefault="00935462" w:rsidP="002410CE">
      <w:pPr>
        <w:ind w:left="0"/>
      </w:pPr>
      <w:r>
        <w:t xml:space="preserve">Considerando </w:t>
      </w:r>
      <w:r w:rsidR="00B7499A">
        <w:t xml:space="preserve">que los reportes sobre </w:t>
      </w:r>
      <w:r w:rsidR="00161903">
        <w:t>mortalidad</w:t>
      </w:r>
      <w:r w:rsidR="00B7499A">
        <w:t xml:space="preserve"> del paciente</w:t>
      </w:r>
      <w:r w:rsidR="00A9470A">
        <w:t xml:space="preserve"> </w:t>
      </w:r>
      <w:r w:rsidR="00161903">
        <w:t>con HDA</w:t>
      </w:r>
      <w:r w:rsidR="00A9470A">
        <w:t xml:space="preserve"> </w:t>
      </w:r>
      <w:r>
        <w:t xml:space="preserve">son </w:t>
      </w:r>
      <w:r w:rsidR="007B56D7">
        <w:t>e</w:t>
      </w:r>
      <w:r w:rsidR="00B7499A">
        <w:t xml:space="preserve">ntre </w:t>
      </w:r>
      <w:r w:rsidR="00161903">
        <w:t>5</w:t>
      </w:r>
      <w:r w:rsidR="00B7499A">
        <w:t xml:space="preserve"> al </w:t>
      </w:r>
      <w:r w:rsidR="00161903">
        <w:t>1</w:t>
      </w:r>
      <w:r w:rsidR="007B56D7">
        <w:t>0</w:t>
      </w:r>
      <w:r w:rsidR="00B7499A">
        <w:t>%, se usar</w:t>
      </w:r>
      <w:r w:rsidR="00D93314">
        <w:t>á</w:t>
      </w:r>
      <w:r w:rsidR="00B7499A">
        <w:t xml:space="preserve"> la siguiente f</w:t>
      </w:r>
      <w:r w:rsidR="00D93314">
        <w:t>ó</w:t>
      </w:r>
      <w:r w:rsidR="00B7499A">
        <w:t>rmula, tomando como propo</w:t>
      </w:r>
      <w:r w:rsidR="00161903">
        <w:t>rción anticipada de mortalidad</w:t>
      </w:r>
      <w:r w:rsidR="00B7499A">
        <w:t xml:space="preserve"> de </w:t>
      </w:r>
      <w:r w:rsidR="00161903">
        <w:t>5</w:t>
      </w:r>
      <w:r w:rsidR="00B7499A">
        <w:t xml:space="preserve">%, con un intervalo de confianza del </w:t>
      </w:r>
      <w:r w:rsidR="00161903">
        <w:t>95</w:t>
      </w:r>
      <w:r w:rsidR="00B7499A">
        <w:t>%</w:t>
      </w:r>
      <w:r w:rsidR="00161903">
        <w:t xml:space="preserve"> y una precisión absoluta del 5</w:t>
      </w:r>
      <w:r w:rsidR="00140AD9">
        <w:t xml:space="preserve">%, anualmente se realizan un promedio de 270 endoscopias de tubo digestivo superior de emergencia. </w:t>
      </w:r>
      <w:r w:rsidR="00140AD9" w:rsidRPr="0018773C">
        <w:rPr>
          <w:vertAlign w:val="superscript"/>
        </w:rPr>
        <w:t>26</w:t>
      </w:r>
    </w:p>
    <w:p w:rsidR="00140AD9" w:rsidRDefault="00140AD9" w:rsidP="002410CE">
      <w:pPr>
        <w:ind w:left="0"/>
      </w:pPr>
    </w:p>
    <w:p w:rsidR="00140AD9" w:rsidRDefault="00140AD9" w:rsidP="002410CE">
      <w:pPr>
        <w:ind w:left="0"/>
      </w:pPr>
      <w:r w:rsidRPr="00140AD9">
        <w:rPr>
          <w:noProof/>
          <w:lang w:val="es-SV" w:eastAsia="es-SV"/>
        </w:rPr>
        <w:lastRenderedPageBreak/>
        <w:drawing>
          <wp:inline distT="0" distB="0" distL="0" distR="0">
            <wp:extent cx="5215382" cy="3219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222116"/>
                    </a:xfrm>
                    <a:prstGeom prst="rect">
                      <a:avLst/>
                    </a:prstGeom>
                    <a:noFill/>
                    <a:ln>
                      <a:noFill/>
                    </a:ln>
                  </pic:spPr>
                </pic:pic>
              </a:graphicData>
            </a:graphic>
          </wp:inline>
        </w:drawing>
      </w:r>
    </w:p>
    <w:p w:rsidR="00140AD9" w:rsidRDefault="00140AD9" w:rsidP="002410CE">
      <w:pPr>
        <w:ind w:left="0"/>
      </w:pPr>
    </w:p>
    <w:p w:rsidR="00C35FC5" w:rsidRPr="00D704A4" w:rsidRDefault="00C35FC5" w:rsidP="002410CE">
      <w:pPr>
        <w:ind w:left="0"/>
      </w:pPr>
    </w:p>
    <w:p w:rsidR="00045816" w:rsidRDefault="00161903" w:rsidP="002410CE">
      <w:pPr>
        <w:ind w:left="0"/>
      </w:pPr>
      <w:r>
        <w:t>Para el caso de la</w:t>
      </w:r>
      <w:r w:rsidR="00125AA2">
        <w:t xml:space="preserve"> in</w:t>
      </w:r>
      <w:r w:rsidR="005B5008">
        <w:t>vestigación fue</w:t>
      </w:r>
      <w:r w:rsidR="00140AD9">
        <w:t xml:space="preserve"> un mínimo de 159 expedientes y con ajuste de per</w:t>
      </w:r>
      <w:r w:rsidR="005B5008">
        <w:t>didas hasta 191, los cuales fuero</w:t>
      </w:r>
      <w:r w:rsidR="00140AD9">
        <w:t>n revisados</w:t>
      </w:r>
      <w:r>
        <w:t>.</w:t>
      </w:r>
      <w:r w:rsidR="00386111">
        <w:t xml:space="preserve"> Al final contamos con 160 expedientes que cumplieron todos los criterios de inclusión.</w:t>
      </w:r>
    </w:p>
    <w:p w:rsidR="00A36A6C" w:rsidRDefault="00A36A6C" w:rsidP="002410CE">
      <w:pPr>
        <w:ind w:left="0"/>
      </w:pPr>
    </w:p>
    <w:p w:rsidR="00024537" w:rsidRDefault="00024537" w:rsidP="00024537">
      <w:pPr>
        <w:ind w:left="0"/>
      </w:pPr>
    </w:p>
    <w:p w:rsidR="00A5286C" w:rsidRDefault="00A5286C" w:rsidP="00024537">
      <w:pPr>
        <w:ind w:left="0"/>
        <w:rPr>
          <w:b/>
        </w:rPr>
      </w:pPr>
      <w:r>
        <w:rPr>
          <w:b/>
        </w:rPr>
        <w:t>Cruce de variables</w:t>
      </w:r>
    </w:p>
    <w:p w:rsidR="00130BAC" w:rsidRDefault="00130BAC" w:rsidP="002410CE">
      <w:pPr>
        <w:ind w:left="0"/>
        <w:rPr>
          <w:b/>
        </w:rPr>
      </w:pPr>
    </w:p>
    <w:tbl>
      <w:tblPr>
        <w:tblStyle w:val="TableGrid"/>
        <w:tblW w:w="7338" w:type="dxa"/>
        <w:tblLook w:val="04A0" w:firstRow="1" w:lastRow="0" w:firstColumn="1" w:lastColumn="0" w:noHBand="0" w:noVBand="1"/>
      </w:tblPr>
      <w:tblGrid>
        <w:gridCol w:w="3936"/>
        <w:gridCol w:w="3402"/>
      </w:tblGrid>
      <w:tr w:rsidR="00EF2BC6" w:rsidTr="00EF2BC6">
        <w:trPr>
          <w:trHeight w:val="270"/>
        </w:trPr>
        <w:tc>
          <w:tcPr>
            <w:tcW w:w="7338" w:type="dxa"/>
            <w:gridSpan w:val="2"/>
            <w:tcBorders>
              <w:bottom w:val="single" w:sz="4" w:space="0" w:color="auto"/>
              <w:right w:val="single" w:sz="4" w:space="0" w:color="auto"/>
            </w:tcBorders>
          </w:tcPr>
          <w:p w:rsidR="00EF2BC6" w:rsidRDefault="00EF2BC6" w:rsidP="00EF2BC6">
            <w:pPr>
              <w:pStyle w:val="ListParagraph"/>
              <w:numPr>
                <w:ilvl w:val="0"/>
                <w:numId w:val="44"/>
              </w:numPr>
              <w:rPr>
                <w:b/>
              </w:rPr>
            </w:pPr>
            <w:r w:rsidRPr="00EF2BC6">
              <w:rPr>
                <w:b/>
              </w:rPr>
              <w:t>Aplicación de escala UNAL</w:t>
            </w:r>
          </w:p>
          <w:p w:rsidR="00FF0902" w:rsidRPr="00EF2BC6" w:rsidRDefault="00FF0902" w:rsidP="00FF0902">
            <w:pPr>
              <w:pStyle w:val="ListParagraph"/>
              <w:numPr>
                <w:ilvl w:val="1"/>
                <w:numId w:val="34"/>
              </w:numPr>
              <w:rPr>
                <w:b/>
              </w:rPr>
            </w:pPr>
            <w:r>
              <w:rPr>
                <w:b/>
              </w:rPr>
              <w:t>Hallazgos clínicos y de laboratorio</w:t>
            </w:r>
          </w:p>
        </w:tc>
      </w:tr>
      <w:tr w:rsidR="004434B5" w:rsidTr="00EF2BC6">
        <w:trPr>
          <w:trHeight w:val="270"/>
        </w:trPr>
        <w:tc>
          <w:tcPr>
            <w:tcW w:w="3936" w:type="dxa"/>
            <w:tcBorders>
              <w:top w:val="single" w:sz="4" w:space="0" w:color="auto"/>
              <w:left w:val="single" w:sz="4" w:space="0" w:color="auto"/>
              <w:bottom w:val="nil"/>
              <w:right w:val="single" w:sz="4" w:space="0" w:color="auto"/>
            </w:tcBorders>
          </w:tcPr>
          <w:p w:rsidR="004434B5" w:rsidRDefault="004434B5" w:rsidP="002410CE">
            <w:pPr>
              <w:ind w:left="0"/>
              <w:rPr>
                <w:b/>
              </w:rPr>
            </w:pPr>
          </w:p>
        </w:tc>
        <w:tc>
          <w:tcPr>
            <w:tcW w:w="3402" w:type="dxa"/>
            <w:tcBorders>
              <w:left w:val="single" w:sz="4" w:space="0" w:color="auto"/>
            </w:tcBorders>
          </w:tcPr>
          <w:p w:rsidR="004434B5" w:rsidRDefault="004434B5" w:rsidP="002410CE">
            <w:pPr>
              <w:ind w:left="0"/>
              <w:rPr>
                <w:b/>
              </w:rPr>
            </w:pPr>
            <w:r>
              <w:rPr>
                <w:b/>
              </w:rPr>
              <w:t xml:space="preserve">Sexo </w:t>
            </w:r>
          </w:p>
        </w:tc>
      </w:tr>
      <w:tr w:rsidR="00140AD9" w:rsidTr="00EF2BC6">
        <w:trPr>
          <w:trHeight w:val="270"/>
        </w:trPr>
        <w:tc>
          <w:tcPr>
            <w:tcW w:w="3936" w:type="dxa"/>
            <w:vMerge w:val="restart"/>
            <w:tcBorders>
              <w:top w:val="nil"/>
            </w:tcBorders>
          </w:tcPr>
          <w:p w:rsidR="00140AD9" w:rsidRPr="00EF2BC6" w:rsidRDefault="00140AD9" w:rsidP="00EF2BC6">
            <w:pPr>
              <w:pStyle w:val="ListParagraph"/>
              <w:numPr>
                <w:ilvl w:val="0"/>
                <w:numId w:val="44"/>
              </w:numPr>
              <w:rPr>
                <w:b/>
              </w:rPr>
            </w:pPr>
            <w:r w:rsidRPr="00EF2BC6">
              <w:rPr>
                <w:b/>
              </w:rPr>
              <w:t>Sangrado activo</w:t>
            </w:r>
          </w:p>
        </w:tc>
        <w:tc>
          <w:tcPr>
            <w:tcW w:w="3402" w:type="dxa"/>
          </w:tcPr>
          <w:p w:rsidR="00140AD9" w:rsidRDefault="00140AD9" w:rsidP="002410CE">
            <w:pPr>
              <w:ind w:left="0"/>
              <w:rPr>
                <w:b/>
              </w:rPr>
            </w:pPr>
            <w:r>
              <w:rPr>
                <w:b/>
              </w:rPr>
              <w:t>Edad</w:t>
            </w:r>
          </w:p>
        </w:tc>
      </w:tr>
      <w:tr w:rsidR="00140AD9" w:rsidTr="00EF2BC6">
        <w:trPr>
          <w:trHeight w:val="285"/>
        </w:trPr>
        <w:tc>
          <w:tcPr>
            <w:tcW w:w="3936" w:type="dxa"/>
            <w:vMerge/>
            <w:tcBorders>
              <w:bottom w:val="nil"/>
            </w:tcBorders>
          </w:tcPr>
          <w:p w:rsidR="00140AD9" w:rsidRDefault="00140AD9" w:rsidP="002410CE">
            <w:pPr>
              <w:ind w:left="0"/>
              <w:rPr>
                <w:b/>
              </w:rPr>
            </w:pPr>
          </w:p>
        </w:tc>
        <w:tc>
          <w:tcPr>
            <w:tcW w:w="3402" w:type="dxa"/>
          </w:tcPr>
          <w:p w:rsidR="00140AD9" w:rsidRDefault="00140AD9" w:rsidP="002410CE">
            <w:pPr>
              <w:ind w:left="0"/>
              <w:rPr>
                <w:b/>
              </w:rPr>
            </w:pPr>
            <w:r>
              <w:rPr>
                <w:b/>
              </w:rPr>
              <w:t xml:space="preserve">Comorbilidad </w:t>
            </w:r>
          </w:p>
        </w:tc>
      </w:tr>
      <w:tr w:rsidR="004434B5" w:rsidTr="00EF2BC6">
        <w:trPr>
          <w:trHeight w:val="285"/>
        </w:trPr>
        <w:tc>
          <w:tcPr>
            <w:tcW w:w="3936" w:type="dxa"/>
            <w:tcBorders>
              <w:top w:val="nil"/>
              <w:bottom w:val="nil"/>
            </w:tcBorders>
          </w:tcPr>
          <w:p w:rsidR="004434B5" w:rsidRDefault="004434B5" w:rsidP="002410CE">
            <w:pPr>
              <w:ind w:left="0"/>
              <w:rPr>
                <w:b/>
              </w:rPr>
            </w:pPr>
          </w:p>
        </w:tc>
        <w:tc>
          <w:tcPr>
            <w:tcW w:w="3402" w:type="dxa"/>
          </w:tcPr>
          <w:p w:rsidR="004434B5" w:rsidRDefault="004434B5" w:rsidP="002410CE">
            <w:pPr>
              <w:ind w:left="0"/>
              <w:rPr>
                <w:b/>
              </w:rPr>
            </w:pPr>
            <w:r>
              <w:rPr>
                <w:b/>
              </w:rPr>
              <w:t>Uso de medicamentos</w:t>
            </w:r>
          </w:p>
        </w:tc>
      </w:tr>
      <w:tr w:rsidR="004434B5" w:rsidTr="00EF2BC6">
        <w:trPr>
          <w:trHeight w:val="285"/>
        </w:trPr>
        <w:tc>
          <w:tcPr>
            <w:tcW w:w="3936" w:type="dxa"/>
            <w:tcBorders>
              <w:top w:val="nil"/>
            </w:tcBorders>
          </w:tcPr>
          <w:p w:rsidR="004434B5" w:rsidRDefault="004434B5" w:rsidP="002410CE">
            <w:pPr>
              <w:ind w:left="0"/>
              <w:rPr>
                <w:b/>
              </w:rPr>
            </w:pPr>
          </w:p>
        </w:tc>
        <w:tc>
          <w:tcPr>
            <w:tcW w:w="3402" w:type="dxa"/>
          </w:tcPr>
          <w:p w:rsidR="004434B5" w:rsidRDefault="004434B5" w:rsidP="002410CE">
            <w:pPr>
              <w:ind w:left="0"/>
              <w:rPr>
                <w:b/>
              </w:rPr>
            </w:pPr>
            <w:r>
              <w:rPr>
                <w:b/>
              </w:rPr>
              <w:t>Hallazgos endoscópicos</w:t>
            </w:r>
          </w:p>
        </w:tc>
      </w:tr>
    </w:tbl>
    <w:p w:rsidR="0048097D" w:rsidRDefault="0048097D" w:rsidP="002410CE">
      <w:pPr>
        <w:ind w:left="0"/>
        <w:rPr>
          <w:b/>
        </w:rPr>
      </w:pPr>
    </w:p>
    <w:p w:rsidR="00A5286C" w:rsidRDefault="002171BA" w:rsidP="002410CE">
      <w:pPr>
        <w:ind w:left="0"/>
        <w:rPr>
          <w:b/>
        </w:rPr>
      </w:pPr>
      <w:r>
        <w:rPr>
          <w:b/>
        </w:rPr>
        <w:t>9.6</w:t>
      </w:r>
      <w:r w:rsidR="00A5286C">
        <w:rPr>
          <w:b/>
        </w:rPr>
        <w:t>Fuente de información</w:t>
      </w:r>
    </w:p>
    <w:p w:rsidR="00E76033" w:rsidRDefault="00E76033" w:rsidP="002410CE">
      <w:pPr>
        <w:ind w:left="0"/>
      </w:pPr>
    </w:p>
    <w:p w:rsidR="00024537" w:rsidRDefault="00024537" w:rsidP="002410CE">
      <w:pPr>
        <w:numPr>
          <w:ilvl w:val="1"/>
          <w:numId w:val="1"/>
        </w:numPr>
        <w:ind w:left="0"/>
      </w:pPr>
      <w:r>
        <w:t xml:space="preserve">Encuesta </w:t>
      </w:r>
    </w:p>
    <w:p w:rsidR="00A5286C" w:rsidRDefault="0009440B" w:rsidP="002410CE">
      <w:pPr>
        <w:numPr>
          <w:ilvl w:val="1"/>
          <w:numId w:val="1"/>
        </w:numPr>
        <w:ind w:left="0"/>
      </w:pPr>
      <w:r>
        <w:t xml:space="preserve">Registro de </w:t>
      </w:r>
      <w:r w:rsidR="00B45672">
        <w:t xml:space="preserve">pacientes anotados </w:t>
      </w:r>
      <w:r w:rsidR="00161903">
        <w:t xml:space="preserve">en el libro de </w:t>
      </w:r>
      <w:r w:rsidR="00024537">
        <w:t>procedimientos</w:t>
      </w:r>
      <w:r w:rsidR="00161903">
        <w:t xml:space="preserve"> de </w:t>
      </w:r>
      <w:r w:rsidR="00024537">
        <w:t xml:space="preserve">Gastroenterología de </w:t>
      </w:r>
      <w:r w:rsidR="00161903">
        <w:t xml:space="preserve">los </w:t>
      </w:r>
      <w:r w:rsidR="00554464">
        <w:t>Hospital</w:t>
      </w:r>
      <w:r w:rsidR="00161903">
        <w:t>es</w:t>
      </w:r>
      <w:r w:rsidR="00554464">
        <w:t xml:space="preserve"> General</w:t>
      </w:r>
      <w:r w:rsidR="00161903">
        <w:t xml:space="preserve"> y </w:t>
      </w:r>
      <w:r w:rsidR="00FF0902">
        <w:t>Médico</w:t>
      </w:r>
      <w:r w:rsidR="00A9470A">
        <w:t xml:space="preserve"> </w:t>
      </w:r>
      <w:r w:rsidR="004E3C3B">
        <w:t>Quirúrgico</w:t>
      </w:r>
      <w:r w:rsidR="00554464">
        <w:t xml:space="preserve"> del ISSS </w:t>
      </w:r>
      <w:r>
        <w:t>en el periodo establecido.</w:t>
      </w:r>
    </w:p>
    <w:p w:rsidR="00554464" w:rsidRDefault="00554464" w:rsidP="002410CE">
      <w:pPr>
        <w:numPr>
          <w:ilvl w:val="1"/>
          <w:numId w:val="1"/>
        </w:numPr>
        <w:ind w:left="0"/>
      </w:pPr>
      <w:r>
        <w:t>Expediente Clínico.</w:t>
      </w:r>
    </w:p>
    <w:p w:rsidR="00BE3C80" w:rsidRDefault="00BE3C80" w:rsidP="002410CE">
      <w:pPr>
        <w:ind w:left="0"/>
        <w:rPr>
          <w:b/>
        </w:rPr>
      </w:pPr>
    </w:p>
    <w:p w:rsidR="00A5286C" w:rsidRDefault="00A5286C" w:rsidP="002410CE">
      <w:pPr>
        <w:ind w:left="0"/>
        <w:rPr>
          <w:b/>
        </w:rPr>
      </w:pPr>
      <w:r>
        <w:rPr>
          <w:b/>
        </w:rPr>
        <w:lastRenderedPageBreak/>
        <w:t>Técnicas de obtención de la información</w:t>
      </w:r>
    </w:p>
    <w:p w:rsidR="00433FB7" w:rsidRDefault="00433FB7" w:rsidP="002410CE">
      <w:pPr>
        <w:ind w:left="0"/>
        <w:rPr>
          <w:b/>
        </w:rPr>
      </w:pPr>
    </w:p>
    <w:p w:rsidR="00A54F48" w:rsidRDefault="00A54F48" w:rsidP="002410CE">
      <w:pPr>
        <w:ind w:left="0"/>
        <w:rPr>
          <w:b/>
        </w:rPr>
      </w:pPr>
      <w:r>
        <w:rPr>
          <w:b/>
        </w:rPr>
        <w:t>Procedimiento</w:t>
      </w:r>
    </w:p>
    <w:p w:rsidR="00024537" w:rsidRDefault="005B5008" w:rsidP="00024537">
      <w:pPr>
        <w:ind w:left="0"/>
        <w:rPr>
          <w:lang w:val="es-AR"/>
        </w:rPr>
      </w:pPr>
      <w:r>
        <w:rPr>
          <w:lang w:val="es-AR"/>
        </w:rPr>
        <w:t xml:space="preserve">Se elaboró </w:t>
      </w:r>
      <w:r w:rsidR="00024537">
        <w:rPr>
          <w:lang w:val="es-AR"/>
        </w:rPr>
        <w:t>un instrumento para la recolección de las variables consideradas, detallándose en el la información, según la nomenclatura internacional y ajustada a nuestro medio para mayor comprensión y manipulación de los datos. Ver anexo #1</w:t>
      </w:r>
    </w:p>
    <w:p w:rsidR="0008184B" w:rsidRDefault="0008184B" w:rsidP="00024537">
      <w:pPr>
        <w:ind w:left="0"/>
        <w:rPr>
          <w:lang w:val="es-AR"/>
        </w:rPr>
      </w:pPr>
    </w:p>
    <w:p w:rsidR="00BB2F07" w:rsidRDefault="005B5008" w:rsidP="00024537">
      <w:pPr>
        <w:ind w:left="0"/>
        <w:rPr>
          <w:lang w:val="es-AR"/>
        </w:rPr>
      </w:pPr>
      <w:r>
        <w:rPr>
          <w:lang w:val="es-AR"/>
        </w:rPr>
        <w:t>Se realizó</w:t>
      </w:r>
      <w:r w:rsidR="00024537">
        <w:rPr>
          <w:lang w:val="es-AR"/>
        </w:rPr>
        <w:t xml:space="preserve"> una búsqueda en los libros acreditados de Gastroenterología, donde se recopilan las copias de todos los procedimientos endoscópicos realizados en retrospectiva hasta completar la cifra de la muestra (191 s</w:t>
      </w:r>
      <w:r w:rsidR="00D1751D">
        <w:rPr>
          <w:lang w:val="es-AR"/>
        </w:rPr>
        <w:t>ujetos) posteriormente se tomaro</w:t>
      </w:r>
      <w:r w:rsidR="00024537">
        <w:rPr>
          <w:lang w:val="es-AR"/>
        </w:rPr>
        <w:t>n los registros de las endoscopias positivas a sangrados activos.</w:t>
      </w:r>
    </w:p>
    <w:p w:rsidR="00024537" w:rsidRDefault="00C63ED0" w:rsidP="00024537">
      <w:pPr>
        <w:ind w:left="0"/>
        <w:rPr>
          <w:lang w:val="es-AR"/>
        </w:rPr>
      </w:pPr>
      <w:r>
        <w:rPr>
          <w:lang w:val="es-AR"/>
        </w:rPr>
        <w:t>Se solicitó</w:t>
      </w:r>
      <w:r w:rsidR="00024537">
        <w:rPr>
          <w:lang w:val="es-AR"/>
        </w:rPr>
        <w:t xml:space="preserve"> la autorización para obtener los expedientes clínicos de aquellas</w:t>
      </w:r>
      <w:r w:rsidR="0008184B">
        <w:rPr>
          <w:lang w:val="es-AR"/>
        </w:rPr>
        <w:t xml:space="preserve"> endoscopias positivas y se hizo</w:t>
      </w:r>
      <w:r w:rsidR="00024537">
        <w:rPr>
          <w:lang w:val="es-AR"/>
        </w:rPr>
        <w:t xml:space="preserve"> la revisión de los mismos para evaluar el cumplimiento de los criterios de inclusión, luego se </w:t>
      </w:r>
      <w:r w:rsidR="0008184B">
        <w:rPr>
          <w:lang w:val="es-AR"/>
        </w:rPr>
        <w:t>aplicó</w:t>
      </w:r>
      <w:r w:rsidR="009F23AC">
        <w:rPr>
          <w:lang w:val="es-AR"/>
        </w:rPr>
        <w:t xml:space="preserve"> la escala UNAL según los parámetros clínicos y de laboratorio</w:t>
      </w:r>
      <w:r w:rsidR="0008184B">
        <w:rPr>
          <w:lang w:val="es-AR"/>
        </w:rPr>
        <w:t xml:space="preserve"> establecidos</w:t>
      </w:r>
      <w:r w:rsidR="009F23AC">
        <w:rPr>
          <w:lang w:val="es-AR"/>
        </w:rPr>
        <w:t>.</w:t>
      </w:r>
    </w:p>
    <w:p w:rsidR="0008184B" w:rsidRDefault="0008184B" w:rsidP="00024537">
      <w:pPr>
        <w:ind w:left="0"/>
        <w:rPr>
          <w:lang w:val="es-AR"/>
        </w:rPr>
      </w:pPr>
    </w:p>
    <w:p w:rsidR="009F23AC" w:rsidRDefault="00C63ED0" w:rsidP="00024537">
      <w:pPr>
        <w:ind w:left="0"/>
        <w:rPr>
          <w:lang w:val="es-AR"/>
        </w:rPr>
      </w:pPr>
      <w:r>
        <w:rPr>
          <w:lang w:val="es-AR"/>
        </w:rPr>
        <w:t>Se revisaro</w:t>
      </w:r>
      <w:r w:rsidR="009F23AC">
        <w:rPr>
          <w:lang w:val="es-AR"/>
        </w:rPr>
        <w:t>n de 15 a 20 expedientes por día, hasta completar la recolección de los datos que luego se analiza</w:t>
      </w:r>
      <w:r w:rsidR="0008184B">
        <w:rPr>
          <w:lang w:val="es-AR"/>
        </w:rPr>
        <w:t>ron</w:t>
      </w:r>
      <w:r w:rsidR="009F23AC">
        <w:rPr>
          <w:lang w:val="es-AR"/>
        </w:rPr>
        <w:t>.</w:t>
      </w:r>
    </w:p>
    <w:p w:rsidR="00024537" w:rsidRDefault="00024537" w:rsidP="00024537">
      <w:pPr>
        <w:ind w:left="0"/>
        <w:rPr>
          <w:lang w:val="es-AR"/>
        </w:rPr>
      </w:pPr>
    </w:p>
    <w:p w:rsidR="00A5286C" w:rsidRDefault="00A5286C" w:rsidP="002410CE">
      <w:pPr>
        <w:ind w:left="0"/>
        <w:rPr>
          <w:b/>
        </w:rPr>
      </w:pPr>
      <w:r>
        <w:rPr>
          <w:b/>
        </w:rPr>
        <w:t>Herramientas para obtención de información</w:t>
      </w:r>
    </w:p>
    <w:p w:rsidR="00E76033" w:rsidRDefault="00E76033" w:rsidP="002410CE">
      <w:pPr>
        <w:ind w:left="0"/>
        <w:rPr>
          <w:b/>
        </w:rPr>
      </w:pPr>
    </w:p>
    <w:p w:rsidR="00433FB7" w:rsidRDefault="009F23AC" w:rsidP="002410CE">
      <w:pPr>
        <w:pStyle w:val="ListParagraph"/>
        <w:spacing w:after="200"/>
        <w:ind w:left="0"/>
        <w:contextualSpacing/>
      </w:pPr>
      <w:r>
        <w:t>Encuesta</w:t>
      </w:r>
    </w:p>
    <w:p w:rsidR="00A5286C" w:rsidRPr="00A5286C" w:rsidRDefault="0009440B" w:rsidP="002410CE">
      <w:pPr>
        <w:ind w:left="0"/>
        <w:rPr>
          <w:b/>
        </w:rPr>
      </w:pPr>
      <w:r>
        <w:rPr>
          <w:b/>
        </w:rPr>
        <w:t>Procesamiento y análisis de información</w:t>
      </w:r>
    </w:p>
    <w:p w:rsidR="00B649B4" w:rsidRDefault="00B649B4" w:rsidP="002410CE">
      <w:pPr>
        <w:ind w:left="0"/>
      </w:pPr>
    </w:p>
    <w:p w:rsidR="00624C15" w:rsidRDefault="00624C15" w:rsidP="002410CE">
      <w:pPr>
        <w:ind w:left="0"/>
      </w:pPr>
      <w:r>
        <w:t>Para la tabulación, análisis de resultados y reali</w:t>
      </w:r>
      <w:r w:rsidR="009F23AC">
        <w:t>zación de gráficos se utilizará</w:t>
      </w:r>
      <w:r w:rsidR="00C21A0D">
        <w:t xml:space="preserve"> </w:t>
      </w:r>
      <w:r w:rsidR="004E3C3B">
        <w:t>el siguiente</w:t>
      </w:r>
      <w:r>
        <w:t xml:space="preserve"> software:</w:t>
      </w:r>
    </w:p>
    <w:p w:rsidR="00433FB7" w:rsidRDefault="00433FB7" w:rsidP="002410CE">
      <w:pPr>
        <w:ind w:left="0"/>
      </w:pPr>
    </w:p>
    <w:p w:rsidR="00433FB7" w:rsidRPr="00685CE3" w:rsidRDefault="000C4E8C" w:rsidP="002410CE">
      <w:pPr>
        <w:ind w:left="0"/>
        <w:rPr>
          <w:lang w:val="en-US"/>
        </w:rPr>
      </w:pPr>
      <w:r w:rsidRPr="00685CE3">
        <w:rPr>
          <w:lang w:val="en-US"/>
        </w:rPr>
        <w:t xml:space="preserve">- </w:t>
      </w:r>
      <w:r w:rsidR="00624C15" w:rsidRPr="00685CE3">
        <w:rPr>
          <w:lang w:val="en-US"/>
        </w:rPr>
        <w:t>Microsoft Excel</w:t>
      </w:r>
    </w:p>
    <w:p w:rsidR="00624C15" w:rsidRPr="00685CE3" w:rsidRDefault="00433FB7" w:rsidP="002410CE">
      <w:pPr>
        <w:ind w:left="0"/>
        <w:rPr>
          <w:lang w:val="en-US"/>
        </w:rPr>
      </w:pPr>
      <w:r w:rsidRPr="00685CE3">
        <w:rPr>
          <w:lang w:val="en-US"/>
        </w:rPr>
        <w:t xml:space="preserve">- </w:t>
      </w:r>
      <w:r w:rsidR="009F23AC" w:rsidRPr="00685CE3">
        <w:rPr>
          <w:lang w:val="en-US"/>
        </w:rPr>
        <w:t>Microsoft Word 2010</w:t>
      </w:r>
      <w:r w:rsidR="000C4E8C" w:rsidRPr="00685CE3">
        <w:rPr>
          <w:lang w:val="en-US"/>
        </w:rPr>
        <w:t>.</w:t>
      </w:r>
    </w:p>
    <w:p w:rsidR="00D119FA" w:rsidRPr="00685CE3" w:rsidRDefault="00D119FA" w:rsidP="002410CE">
      <w:pPr>
        <w:ind w:left="0"/>
        <w:rPr>
          <w:lang w:val="en-US"/>
        </w:rPr>
      </w:pPr>
      <w:r w:rsidRPr="00685CE3">
        <w:rPr>
          <w:lang w:val="en-US"/>
        </w:rPr>
        <w:t>- EPI-INFO</w:t>
      </w:r>
    </w:p>
    <w:p w:rsidR="00F664A1" w:rsidRPr="00685CE3" w:rsidRDefault="00F664A1" w:rsidP="002410CE">
      <w:pPr>
        <w:ind w:left="0"/>
        <w:jc w:val="center"/>
        <w:rPr>
          <w:b/>
          <w:lang w:val="en-US"/>
        </w:rPr>
      </w:pPr>
    </w:p>
    <w:p w:rsidR="00842E9D" w:rsidRPr="00685CE3" w:rsidRDefault="00842E9D" w:rsidP="002410CE">
      <w:pPr>
        <w:ind w:left="0"/>
        <w:jc w:val="center"/>
        <w:rPr>
          <w:b/>
          <w:lang w:val="en-US"/>
        </w:rPr>
      </w:pPr>
    </w:p>
    <w:p w:rsidR="00842E9D" w:rsidRPr="00685CE3" w:rsidRDefault="00842E9D" w:rsidP="002410CE">
      <w:pPr>
        <w:ind w:left="0"/>
        <w:jc w:val="center"/>
        <w:rPr>
          <w:b/>
          <w:lang w:val="en-US"/>
        </w:rPr>
      </w:pPr>
    </w:p>
    <w:p w:rsidR="00842E9D" w:rsidRPr="00685CE3" w:rsidRDefault="00842E9D" w:rsidP="002410CE">
      <w:pPr>
        <w:ind w:left="0"/>
        <w:jc w:val="center"/>
        <w:rPr>
          <w:b/>
          <w:lang w:val="en-US"/>
        </w:rPr>
      </w:pPr>
    </w:p>
    <w:p w:rsidR="009F23AC" w:rsidRPr="00685CE3" w:rsidRDefault="009F23AC" w:rsidP="002410CE">
      <w:pPr>
        <w:ind w:left="0"/>
        <w:jc w:val="center"/>
        <w:rPr>
          <w:b/>
          <w:lang w:val="en-US"/>
        </w:rPr>
      </w:pPr>
    </w:p>
    <w:p w:rsidR="009F23AC" w:rsidRPr="00685CE3" w:rsidRDefault="009F23AC" w:rsidP="002410CE">
      <w:pPr>
        <w:ind w:left="0"/>
        <w:jc w:val="center"/>
        <w:rPr>
          <w:b/>
          <w:lang w:val="en-US"/>
        </w:rPr>
      </w:pPr>
    </w:p>
    <w:p w:rsidR="009F23AC" w:rsidRPr="00685CE3" w:rsidRDefault="009F23AC" w:rsidP="002410CE">
      <w:pPr>
        <w:ind w:left="0"/>
        <w:jc w:val="center"/>
        <w:rPr>
          <w:b/>
          <w:lang w:val="en-US"/>
        </w:rPr>
      </w:pPr>
    </w:p>
    <w:p w:rsidR="009F23AC" w:rsidRPr="00685CE3" w:rsidRDefault="009F23AC" w:rsidP="002410CE">
      <w:pPr>
        <w:ind w:left="0"/>
        <w:jc w:val="center"/>
        <w:rPr>
          <w:b/>
          <w:lang w:val="en-US"/>
        </w:rPr>
      </w:pPr>
    </w:p>
    <w:p w:rsidR="009F23AC" w:rsidRPr="00685CE3" w:rsidRDefault="009F23AC" w:rsidP="002410CE">
      <w:pPr>
        <w:ind w:left="0"/>
        <w:jc w:val="center"/>
        <w:rPr>
          <w:b/>
          <w:lang w:val="en-US"/>
        </w:rPr>
      </w:pPr>
    </w:p>
    <w:p w:rsidR="009F23AC" w:rsidRPr="00685CE3" w:rsidRDefault="009F23AC" w:rsidP="002410CE">
      <w:pPr>
        <w:ind w:left="0"/>
        <w:jc w:val="center"/>
        <w:rPr>
          <w:b/>
          <w:lang w:val="en-US"/>
        </w:rPr>
      </w:pPr>
    </w:p>
    <w:p w:rsidR="009F23AC" w:rsidRPr="00685CE3" w:rsidRDefault="009F23AC" w:rsidP="002410CE">
      <w:pPr>
        <w:ind w:left="0"/>
        <w:jc w:val="center"/>
        <w:rPr>
          <w:b/>
          <w:lang w:val="en-US"/>
        </w:rPr>
      </w:pPr>
    </w:p>
    <w:p w:rsidR="00E77D20" w:rsidRDefault="00846298" w:rsidP="002410CE">
      <w:pPr>
        <w:ind w:left="0"/>
        <w:jc w:val="center"/>
        <w:rPr>
          <w:b/>
        </w:rPr>
      </w:pPr>
      <w:r>
        <w:rPr>
          <w:b/>
        </w:rPr>
        <w:lastRenderedPageBreak/>
        <w:t>7</w:t>
      </w:r>
      <w:r w:rsidR="00E77D20">
        <w:rPr>
          <w:b/>
        </w:rPr>
        <w:t>. PRESENTACION DE LOS RESULTADOS</w:t>
      </w:r>
    </w:p>
    <w:p w:rsidR="00E77D20" w:rsidRDefault="00E77D20" w:rsidP="00E77D20">
      <w:pPr>
        <w:ind w:left="0"/>
        <w:rPr>
          <w:b/>
        </w:rPr>
      </w:pPr>
    </w:p>
    <w:p w:rsidR="00711759" w:rsidRDefault="00711759" w:rsidP="00E77D20">
      <w:pPr>
        <w:ind w:left="0"/>
      </w:pPr>
    </w:p>
    <w:p w:rsidR="00711759" w:rsidRDefault="00C81AA3" w:rsidP="00E77D20">
      <w:pPr>
        <w:ind w:left="0"/>
      </w:pPr>
      <w:r w:rsidRPr="00C81AA3">
        <w:t xml:space="preserve">La presencia de </w:t>
      </w:r>
      <w:r>
        <w:t>Hemorragia Digestiva Alta Activa</w:t>
      </w:r>
      <w:r w:rsidRPr="00C81AA3">
        <w:t xml:space="preserve"> es </w:t>
      </w:r>
      <w:r w:rsidR="00CA6B23">
        <w:t>un hecho, además la población</w:t>
      </w:r>
      <w:r w:rsidR="00C21A0D">
        <w:t xml:space="preserve"> </w:t>
      </w:r>
      <w:r w:rsidR="00CA6B23">
        <w:t xml:space="preserve">expone </w:t>
      </w:r>
      <w:r w:rsidRPr="00C81AA3">
        <w:t xml:space="preserve">factores </w:t>
      </w:r>
      <w:r w:rsidR="00CA6B23">
        <w:t>que pueden ser medidos cuantitativamente y así determinar la necesidad de endoscopia inmediata</w:t>
      </w:r>
      <w:r w:rsidR="0008184B">
        <w:t xml:space="preserve">. Hay </w:t>
      </w:r>
      <w:r w:rsidR="00CA6B23">
        <w:t>factores</w:t>
      </w:r>
      <w:r w:rsidRPr="00C81AA3">
        <w:t xml:space="preserve"> médicos</w:t>
      </w:r>
      <w:r w:rsidR="00CA6B23">
        <w:t xml:space="preserve"> asociados,</w:t>
      </w:r>
      <w:r w:rsidR="00C21A0D">
        <w:t xml:space="preserve"> </w:t>
      </w:r>
      <w:r w:rsidR="0008184B">
        <w:t>así como</w:t>
      </w:r>
      <w:r w:rsidR="00CA6B23">
        <w:t xml:space="preserve"> factores demográficos importantes</w:t>
      </w:r>
      <w:r w:rsidRPr="00C81AA3">
        <w:t>, encontrándose los resultados siguientes</w:t>
      </w:r>
      <w:r w:rsidR="00CA6B23">
        <w:t>:</w:t>
      </w:r>
    </w:p>
    <w:p w:rsidR="00CA6B23" w:rsidRDefault="00CA6B23" w:rsidP="00E77D20">
      <w:pPr>
        <w:ind w:left="0"/>
      </w:pPr>
    </w:p>
    <w:p w:rsidR="007575CA" w:rsidRDefault="007575CA" w:rsidP="00E77D20">
      <w:pPr>
        <w:ind w:left="0"/>
      </w:pPr>
    </w:p>
    <w:p w:rsidR="007575CA" w:rsidRDefault="007575CA" w:rsidP="00E77D20">
      <w:pPr>
        <w:ind w:left="0"/>
      </w:pPr>
    </w:p>
    <w:p w:rsidR="007575CA" w:rsidRDefault="007575CA" w:rsidP="00E77D20">
      <w:pPr>
        <w:ind w:left="0"/>
      </w:pPr>
    </w:p>
    <w:p w:rsidR="00A943A1" w:rsidRDefault="00A943A1" w:rsidP="00E77D20">
      <w:pPr>
        <w:ind w:left="0"/>
      </w:pPr>
      <w:r>
        <w:t>Grafico N°1</w:t>
      </w:r>
      <w:r w:rsidR="00CA6B23">
        <w:t xml:space="preserve"> Distribución de los pacientes en quienes fue aplicada la escala UNAL, y efectividad de la prueba ante un sangrado activo.</w:t>
      </w:r>
    </w:p>
    <w:p w:rsidR="00A943A1" w:rsidRDefault="00A943A1" w:rsidP="00E77D20">
      <w:pPr>
        <w:ind w:left="0"/>
      </w:pPr>
    </w:p>
    <w:p w:rsidR="00A943A1" w:rsidRPr="00A943A1" w:rsidRDefault="000F4F3F" w:rsidP="00E77D20">
      <w:pPr>
        <w:ind w:left="0"/>
      </w:pPr>
      <w:r>
        <w:rPr>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4306570</wp:posOffset>
                </wp:positionH>
                <wp:positionV relativeFrom="paragraph">
                  <wp:posOffset>1564005</wp:posOffset>
                </wp:positionV>
                <wp:extent cx="582930" cy="237490"/>
                <wp:effectExtent l="0" t="0" r="26670" b="1016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374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593F" w:rsidRPr="00B830D4" w:rsidRDefault="00B7593F" w:rsidP="00711759">
                            <w:pPr>
                              <w:ind w:left="0"/>
                              <w:rPr>
                                <w:sz w:val="20"/>
                                <w:szCs w:val="20"/>
                                <w:lang w:val="es-SV"/>
                              </w:rPr>
                            </w:pPr>
                            <w:proofErr w:type="gramStart"/>
                            <w:r w:rsidRPr="00B830D4">
                              <w:rPr>
                                <w:sz w:val="20"/>
                                <w:szCs w:val="20"/>
                                <w:lang w:val="es-SV"/>
                              </w:rPr>
                              <w:t>n</w:t>
                            </w:r>
                            <w:proofErr w:type="gramEnd"/>
                            <w:r w:rsidRPr="00B830D4">
                              <w:rPr>
                                <w:sz w:val="20"/>
                                <w:szCs w:val="20"/>
                                <w:lang w:val="es-SV"/>
                              </w:rPr>
                              <w:t>: 160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39.1pt;margin-top:123.15pt;width:45.9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" filled="f" strokeweight="0">
                <v:textbox style="mso-fit-shape-to-text:t">
                  <w:txbxContent>
                    <w:p w:rsidR="00B7593F" w:rsidRPr="00B830D4" w:rsidRDefault="00B7593F" w:rsidP="00711759">
                      <w:pPr>
                        <w:ind w:left="0"/>
                        <w:rPr>
                          <w:sz w:val="20"/>
                          <w:szCs w:val="20"/>
                          <w:lang w:val="es-SV"/>
                        </w:rPr>
                      </w:pPr>
                      <w:proofErr w:type="gramStart"/>
                      <w:r w:rsidRPr="00B830D4">
                        <w:rPr>
                          <w:sz w:val="20"/>
                          <w:szCs w:val="20"/>
                          <w:lang w:val="es-SV"/>
                        </w:rPr>
                        <w:t>n</w:t>
                      </w:r>
                      <w:proofErr w:type="gramEnd"/>
                      <w:r w:rsidRPr="00B830D4">
                        <w:rPr>
                          <w:sz w:val="20"/>
                          <w:szCs w:val="20"/>
                          <w:lang w:val="es-SV"/>
                        </w:rPr>
                        <w:t>: 160</w:t>
                      </w:r>
                    </w:p>
                  </w:txbxContent>
                </v:textbox>
              </v:shape>
            </w:pict>
          </mc:Fallback>
        </mc:AlternateContent>
      </w:r>
      <w:r w:rsidR="00A943A1">
        <w:rPr>
          <w:noProof/>
          <w:lang w:val="es-SV" w:eastAsia="es-SV"/>
        </w:rPr>
        <w:drawing>
          <wp:inline distT="0" distB="0" distL="0" distR="0">
            <wp:extent cx="5334000" cy="29146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7D20" w:rsidRPr="00A943A1" w:rsidRDefault="00E77D20" w:rsidP="00E77D20">
      <w:pPr>
        <w:ind w:left="0"/>
      </w:pPr>
    </w:p>
    <w:p w:rsidR="00E77D20" w:rsidRPr="00B830D4" w:rsidRDefault="00B830D4" w:rsidP="00E77D20">
      <w:pPr>
        <w:ind w:left="0"/>
        <w:rPr>
          <w:sz w:val="16"/>
          <w:szCs w:val="16"/>
        </w:rPr>
      </w:pPr>
      <w:r w:rsidRPr="00B830D4">
        <w:rPr>
          <w:sz w:val="16"/>
          <w:szCs w:val="16"/>
        </w:rPr>
        <w:t>Fuente: investigación realizada de Mayo a Septiembre de 2011. En los Hospitales Médico Quirúrgico y General del ISSS</w:t>
      </w:r>
      <w:r>
        <w:rPr>
          <w:sz w:val="16"/>
          <w:szCs w:val="16"/>
        </w:rPr>
        <w:t>. San salvador.</w:t>
      </w:r>
    </w:p>
    <w:p w:rsidR="000A585D" w:rsidRDefault="000A585D" w:rsidP="00E77D20">
      <w:pPr>
        <w:ind w:left="0"/>
      </w:pPr>
    </w:p>
    <w:p w:rsidR="000A585D" w:rsidRDefault="000A585D" w:rsidP="00E77D20">
      <w:pPr>
        <w:ind w:left="0"/>
      </w:pPr>
    </w:p>
    <w:p w:rsidR="000A585D" w:rsidRDefault="000A585D" w:rsidP="00E77D20">
      <w:pPr>
        <w:ind w:left="0"/>
      </w:pPr>
    </w:p>
    <w:p w:rsidR="000A585D" w:rsidRDefault="000A585D" w:rsidP="00E77D20">
      <w:pPr>
        <w:ind w:left="0"/>
      </w:pPr>
    </w:p>
    <w:p w:rsidR="000A585D" w:rsidRDefault="000A585D" w:rsidP="00E77D20">
      <w:pPr>
        <w:ind w:left="0"/>
      </w:pPr>
    </w:p>
    <w:p w:rsidR="000A585D" w:rsidRDefault="000A585D" w:rsidP="00E77D20">
      <w:pPr>
        <w:ind w:left="0"/>
      </w:pPr>
    </w:p>
    <w:p w:rsidR="000A585D" w:rsidRDefault="000A585D" w:rsidP="00E77D20">
      <w:pPr>
        <w:ind w:left="0"/>
      </w:pPr>
    </w:p>
    <w:p w:rsidR="000A585D" w:rsidRDefault="000A585D" w:rsidP="00E77D20">
      <w:pPr>
        <w:ind w:left="0"/>
      </w:pPr>
    </w:p>
    <w:p w:rsidR="00117A89" w:rsidRDefault="00117A89" w:rsidP="00E77D20">
      <w:pPr>
        <w:ind w:left="0"/>
      </w:pPr>
    </w:p>
    <w:p w:rsidR="00117A89" w:rsidRDefault="00117A89" w:rsidP="00E77D20">
      <w:pPr>
        <w:ind w:left="0"/>
      </w:pPr>
    </w:p>
    <w:p w:rsidR="007575CA" w:rsidRDefault="007575CA" w:rsidP="00E77D20">
      <w:pPr>
        <w:ind w:left="0"/>
      </w:pPr>
    </w:p>
    <w:p w:rsidR="00657D72" w:rsidRDefault="00657D72" w:rsidP="00E77D20">
      <w:pPr>
        <w:ind w:left="0"/>
      </w:pPr>
      <w:r>
        <w:t>Tabla N</w:t>
      </w:r>
      <w:r w:rsidR="00F166E7" w:rsidRPr="00F166E7">
        <w:rPr>
          <w:vertAlign w:val="superscript"/>
        </w:rPr>
        <w:t>0</w:t>
      </w:r>
      <w:r w:rsidR="00F166E7">
        <w:t>1</w:t>
      </w:r>
      <w:r w:rsidR="00117A89">
        <w:t>.</w:t>
      </w:r>
      <w:r w:rsidR="00F166E7">
        <w:t xml:space="preserve"> Hallazgos clínicos y de laboratorio para el cálculo de la escala UNAL de discriminación de sangrado activo en Hemorragia Digestiva Alta</w:t>
      </w:r>
    </w:p>
    <w:p w:rsidR="00657D72" w:rsidRDefault="00657D72" w:rsidP="00E77D20">
      <w:pPr>
        <w:ind w:left="0"/>
      </w:pPr>
    </w:p>
    <w:tbl>
      <w:tblPr>
        <w:tblStyle w:val="LightList"/>
        <w:tblW w:w="0" w:type="auto"/>
        <w:tblLook w:val="04A0" w:firstRow="1" w:lastRow="0" w:firstColumn="1" w:lastColumn="0" w:noHBand="0" w:noVBand="1"/>
      </w:tblPr>
      <w:tblGrid>
        <w:gridCol w:w="4503"/>
        <w:gridCol w:w="1701"/>
        <w:gridCol w:w="2268"/>
      </w:tblGrid>
      <w:tr w:rsidR="00F166E7" w:rsidTr="00D17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166E7" w:rsidRDefault="00F166E7" w:rsidP="00E77D20">
            <w:pPr>
              <w:ind w:left="0"/>
            </w:pPr>
            <w:r>
              <w:t>Hallazgos clínicos para</w:t>
            </w:r>
          </w:p>
          <w:p w:rsidR="00F166E7" w:rsidRDefault="00F166E7" w:rsidP="00E77D20">
            <w:pPr>
              <w:ind w:left="0"/>
            </w:pPr>
            <w:r>
              <w:t>Cálculo de UNAL</w:t>
            </w:r>
          </w:p>
        </w:tc>
        <w:tc>
          <w:tcPr>
            <w:tcW w:w="1701" w:type="dxa"/>
          </w:tcPr>
          <w:p w:rsidR="00F166E7" w:rsidRDefault="00F166E7" w:rsidP="00F166E7">
            <w:pPr>
              <w:ind w:left="0"/>
              <w:jc w:val="center"/>
              <w:cnfStyle w:val="100000000000" w:firstRow="1" w:lastRow="0" w:firstColumn="0" w:lastColumn="0" w:oddVBand="0" w:evenVBand="0" w:oddHBand="0" w:evenHBand="0" w:firstRowFirstColumn="0" w:firstRowLastColumn="0" w:lastRowFirstColumn="0" w:lastRowLastColumn="0"/>
            </w:pPr>
            <w:r>
              <w:t>pacientes</w:t>
            </w:r>
          </w:p>
        </w:tc>
        <w:tc>
          <w:tcPr>
            <w:tcW w:w="2268" w:type="dxa"/>
          </w:tcPr>
          <w:p w:rsidR="00F166E7" w:rsidRDefault="00F166E7" w:rsidP="00F166E7">
            <w:pPr>
              <w:ind w:left="0"/>
              <w:jc w:val="center"/>
              <w:cnfStyle w:val="100000000000" w:firstRow="1" w:lastRow="0" w:firstColumn="0" w:lastColumn="0" w:oddVBand="0" w:evenVBand="0" w:oddHBand="0" w:evenHBand="0" w:firstRowFirstColumn="0" w:firstRowLastColumn="0" w:lastRowFirstColumn="0" w:lastRowLastColumn="0"/>
            </w:pPr>
            <w:r>
              <w:t>Pacientes (%)</w:t>
            </w:r>
          </w:p>
        </w:tc>
      </w:tr>
      <w:tr w:rsidR="00F166E7" w:rsidTr="00D1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166E7" w:rsidRDefault="00F166E7" w:rsidP="00E77D20">
            <w:pPr>
              <w:ind w:left="0"/>
            </w:pPr>
            <w:r>
              <w:t>Sangre en la SNG</w:t>
            </w:r>
          </w:p>
        </w:tc>
        <w:tc>
          <w:tcPr>
            <w:tcW w:w="1701" w:type="dxa"/>
          </w:tcPr>
          <w:p w:rsidR="00F166E7" w:rsidRDefault="00F166E7" w:rsidP="00F166E7">
            <w:pPr>
              <w:ind w:left="0"/>
              <w:jc w:val="center"/>
              <w:cnfStyle w:val="000000100000" w:firstRow="0" w:lastRow="0" w:firstColumn="0" w:lastColumn="0" w:oddVBand="0" w:evenVBand="0" w:oddHBand="1" w:evenHBand="0" w:firstRowFirstColumn="0" w:firstRowLastColumn="0" w:lastRowFirstColumn="0" w:lastRowLastColumn="0"/>
            </w:pPr>
            <w:r>
              <w:t>160</w:t>
            </w:r>
          </w:p>
        </w:tc>
        <w:tc>
          <w:tcPr>
            <w:tcW w:w="2268" w:type="dxa"/>
          </w:tcPr>
          <w:p w:rsidR="00F166E7" w:rsidRDefault="00F166E7" w:rsidP="00F166E7">
            <w:pPr>
              <w:ind w:left="0"/>
              <w:jc w:val="center"/>
              <w:cnfStyle w:val="000000100000" w:firstRow="0" w:lastRow="0" w:firstColumn="0" w:lastColumn="0" w:oddVBand="0" w:evenVBand="0" w:oddHBand="1" w:evenHBand="0" w:firstRowFirstColumn="0" w:firstRowLastColumn="0" w:lastRowFirstColumn="0" w:lastRowLastColumn="0"/>
            </w:pPr>
            <w:r>
              <w:t>100</w:t>
            </w:r>
          </w:p>
        </w:tc>
      </w:tr>
      <w:tr w:rsidR="00F166E7" w:rsidTr="00D1751D">
        <w:tc>
          <w:tcPr>
            <w:cnfStyle w:val="001000000000" w:firstRow="0" w:lastRow="0" w:firstColumn="1" w:lastColumn="0" w:oddVBand="0" w:evenVBand="0" w:oddHBand="0" w:evenHBand="0" w:firstRowFirstColumn="0" w:firstRowLastColumn="0" w:lastRowFirstColumn="0" w:lastRowLastColumn="0"/>
            <w:tcW w:w="4503" w:type="dxa"/>
          </w:tcPr>
          <w:p w:rsidR="00F166E7" w:rsidRDefault="00F166E7" w:rsidP="00E77D20">
            <w:pPr>
              <w:ind w:left="0"/>
            </w:pPr>
            <w:proofErr w:type="spellStart"/>
            <w:r>
              <w:t>Hb</w:t>
            </w:r>
            <w:proofErr w:type="spellEnd"/>
            <w:r>
              <w:t xml:space="preserve"> menor de 8 gr/dl</w:t>
            </w:r>
          </w:p>
        </w:tc>
        <w:tc>
          <w:tcPr>
            <w:tcW w:w="1701" w:type="dxa"/>
          </w:tcPr>
          <w:p w:rsidR="00F166E7" w:rsidRPr="00F166E7" w:rsidRDefault="00F166E7" w:rsidP="00F166E7">
            <w:pPr>
              <w:ind w:left="0"/>
              <w:jc w:val="center"/>
              <w:cnfStyle w:val="000000000000" w:firstRow="0" w:lastRow="0" w:firstColumn="0" w:lastColumn="0" w:oddVBand="0" w:evenVBand="0" w:oddHBand="0" w:evenHBand="0" w:firstRowFirstColumn="0" w:firstRowLastColumn="0" w:lastRowFirstColumn="0" w:lastRowLastColumn="0"/>
              <w:rPr>
                <w:highlight w:val="yellow"/>
              </w:rPr>
            </w:pPr>
            <w:r w:rsidRPr="00F166E7">
              <w:t>152</w:t>
            </w:r>
          </w:p>
        </w:tc>
        <w:tc>
          <w:tcPr>
            <w:tcW w:w="2268" w:type="dxa"/>
          </w:tcPr>
          <w:p w:rsidR="00F166E7" w:rsidRDefault="00F166E7" w:rsidP="00F166E7">
            <w:pPr>
              <w:ind w:left="0"/>
              <w:jc w:val="center"/>
              <w:cnfStyle w:val="000000000000" w:firstRow="0" w:lastRow="0" w:firstColumn="0" w:lastColumn="0" w:oddVBand="0" w:evenVBand="0" w:oddHBand="0" w:evenHBand="0" w:firstRowFirstColumn="0" w:firstRowLastColumn="0" w:lastRowFirstColumn="0" w:lastRowLastColumn="0"/>
            </w:pPr>
            <w:r>
              <w:t>95</w:t>
            </w:r>
          </w:p>
        </w:tc>
      </w:tr>
      <w:tr w:rsidR="00F166E7" w:rsidTr="00D1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166E7" w:rsidRDefault="00F166E7" w:rsidP="00E77D20">
            <w:pPr>
              <w:ind w:left="0"/>
            </w:pPr>
            <w:r>
              <w:t xml:space="preserve">Lipotimia </w:t>
            </w:r>
          </w:p>
        </w:tc>
        <w:tc>
          <w:tcPr>
            <w:tcW w:w="1701" w:type="dxa"/>
          </w:tcPr>
          <w:p w:rsidR="00F166E7" w:rsidRDefault="00F166E7" w:rsidP="00F166E7">
            <w:pPr>
              <w:ind w:left="0"/>
              <w:jc w:val="center"/>
              <w:cnfStyle w:val="000000100000" w:firstRow="0" w:lastRow="0" w:firstColumn="0" w:lastColumn="0" w:oddVBand="0" w:evenVBand="0" w:oddHBand="1" w:evenHBand="0" w:firstRowFirstColumn="0" w:firstRowLastColumn="0" w:lastRowFirstColumn="0" w:lastRowLastColumn="0"/>
            </w:pPr>
            <w:r>
              <w:t>108</w:t>
            </w:r>
          </w:p>
        </w:tc>
        <w:tc>
          <w:tcPr>
            <w:tcW w:w="2268" w:type="dxa"/>
          </w:tcPr>
          <w:p w:rsidR="00F166E7" w:rsidRDefault="00F166E7" w:rsidP="00F166E7">
            <w:pPr>
              <w:ind w:left="0"/>
              <w:jc w:val="center"/>
              <w:cnfStyle w:val="000000100000" w:firstRow="0" w:lastRow="0" w:firstColumn="0" w:lastColumn="0" w:oddVBand="0" w:evenVBand="0" w:oddHBand="1" w:evenHBand="0" w:firstRowFirstColumn="0" w:firstRowLastColumn="0" w:lastRowFirstColumn="0" w:lastRowLastColumn="0"/>
            </w:pPr>
            <w:r>
              <w:t>67.5</w:t>
            </w:r>
          </w:p>
        </w:tc>
      </w:tr>
      <w:tr w:rsidR="00F166E7" w:rsidTr="00D1751D">
        <w:tc>
          <w:tcPr>
            <w:cnfStyle w:val="001000000000" w:firstRow="0" w:lastRow="0" w:firstColumn="1" w:lastColumn="0" w:oddVBand="0" w:evenVBand="0" w:oddHBand="0" w:evenHBand="0" w:firstRowFirstColumn="0" w:firstRowLastColumn="0" w:lastRowFirstColumn="0" w:lastRowLastColumn="0"/>
            <w:tcW w:w="4503" w:type="dxa"/>
          </w:tcPr>
          <w:p w:rsidR="00F166E7" w:rsidRDefault="00F166E7" w:rsidP="00E77D20">
            <w:pPr>
              <w:ind w:left="0"/>
            </w:pPr>
            <w:r>
              <w:t>Leucocitos mayor de 12,000 c/mm3</w:t>
            </w:r>
          </w:p>
        </w:tc>
        <w:tc>
          <w:tcPr>
            <w:tcW w:w="1701" w:type="dxa"/>
          </w:tcPr>
          <w:p w:rsidR="00F166E7" w:rsidRDefault="00F166E7" w:rsidP="00F166E7">
            <w:pPr>
              <w:ind w:left="0"/>
              <w:jc w:val="center"/>
              <w:cnfStyle w:val="000000000000" w:firstRow="0" w:lastRow="0" w:firstColumn="0" w:lastColumn="0" w:oddVBand="0" w:evenVBand="0" w:oddHBand="0" w:evenHBand="0" w:firstRowFirstColumn="0" w:firstRowLastColumn="0" w:lastRowFirstColumn="0" w:lastRowLastColumn="0"/>
            </w:pPr>
            <w:r>
              <w:t>124</w:t>
            </w:r>
          </w:p>
        </w:tc>
        <w:tc>
          <w:tcPr>
            <w:tcW w:w="2268" w:type="dxa"/>
          </w:tcPr>
          <w:p w:rsidR="00F166E7" w:rsidRDefault="00F166E7" w:rsidP="00F166E7">
            <w:pPr>
              <w:ind w:left="0"/>
              <w:jc w:val="center"/>
              <w:cnfStyle w:val="000000000000" w:firstRow="0" w:lastRow="0" w:firstColumn="0" w:lastColumn="0" w:oddVBand="0" w:evenVBand="0" w:oddHBand="0" w:evenHBand="0" w:firstRowFirstColumn="0" w:firstRowLastColumn="0" w:lastRowFirstColumn="0" w:lastRowLastColumn="0"/>
            </w:pPr>
            <w:r>
              <w:t>77.5</w:t>
            </w:r>
          </w:p>
        </w:tc>
      </w:tr>
      <w:tr w:rsidR="00F166E7" w:rsidTr="00D1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166E7" w:rsidRDefault="00F166E7" w:rsidP="00E77D20">
            <w:pPr>
              <w:ind w:left="0"/>
            </w:pPr>
            <w:r>
              <w:t>Edad mayor de 65 años</w:t>
            </w:r>
          </w:p>
        </w:tc>
        <w:tc>
          <w:tcPr>
            <w:tcW w:w="1701" w:type="dxa"/>
          </w:tcPr>
          <w:p w:rsidR="00F166E7" w:rsidRDefault="00F166E7" w:rsidP="00F166E7">
            <w:pPr>
              <w:ind w:left="0"/>
              <w:jc w:val="center"/>
              <w:cnfStyle w:val="000000100000" w:firstRow="0" w:lastRow="0" w:firstColumn="0" w:lastColumn="0" w:oddVBand="0" w:evenVBand="0" w:oddHBand="1" w:evenHBand="0" w:firstRowFirstColumn="0" w:firstRowLastColumn="0" w:lastRowFirstColumn="0" w:lastRowLastColumn="0"/>
            </w:pPr>
            <w:r>
              <w:t>72</w:t>
            </w:r>
          </w:p>
        </w:tc>
        <w:tc>
          <w:tcPr>
            <w:tcW w:w="2268" w:type="dxa"/>
          </w:tcPr>
          <w:p w:rsidR="00F166E7" w:rsidRDefault="00F166E7" w:rsidP="00F166E7">
            <w:pPr>
              <w:ind w:left="0"/>
              <w:jc w:val="center"/>
              <w:cnfStyle w:val="000000100000" w:firstRow="0" w:lastRow="0" w:firstColumn="0" w:lastColumn="0" w:oddVBand="0" w:evenVBand="0" w:oddHBand="1" w:evenHBand="0" w:firstRowFirstColumn="0" w:firstRowLastColumn="0" w:lastRowFirstColumn="0" w:lastRowLastColumn="0"/>
            </w:pPr>
            <w:r>
              <w:t>45</w:t>
            </w:r>
          </w:p>
        </w:tc>
      </w:tr>
      <w:tr w:rsidR="00F166E7" w:rsidTr="00D1751D">
        <w:tc>
          <w:tcPr>
            <w:cnfStyle w:val="001000000000" w:firstRow="0" w:lastRow="0" w:firstColumn="1" w:lastColumn="0" w:oddVBand="0" w:evenVBand="0" w:oddHBand="0" w:evenHBand="0" w:firstRowFirstColumn="0" w:firstRowLastColumn="0" w:lastRowFirstColumn="0" w:lastRowLastColumn="0"/>
            <w:tcW w:w="4503" w:type="dxa"/>
          </w:tcPr>
          <w:p w:rsidR="00F166E7" w:rsidRDefault="00F166E7" w:rsidP="00E77D20">
            <w:pPr>
              <w:ind w:left="0"/>
            </w:pPr>
            <w:r>
              <w:t>Inestabilidad Hemodinámica</w:t>
            </w:r>
          </w:p>
        </w:tc>
        <w:tc>
          <w:tcPr>
            <w:tcW w:w="1701" w:type="dxa"/>
          </w:tcPr>
          <w:p w:rsidR="00F166E7" w:rsidRDefault="00F166E7" w:rsidP="00F166E7">
            <w:pPr>
              <w:ind w:left="0"/>
              <w:jc w:val="center"/>
              <w:cnfStyle w:val="000000000000" w:firstRow="0" w:lastRow="0" w:firstColumn="0" w:lastColumn="0" w:oddVBand="0" w:evenVBand="0" w:oddHBand="0" w:evenHBand="0" w:firstRowFirstColumn="0" w:firstRowLastColumn="0" w:lastRowFirstColumn="0" w:lastRowLastColumn="0"/>
            </w:pPr>
            <w:r>
              <w:t>108</w:t>
            </w:r>
          </w:p>
        </w:tc>
        <w:tc>
          <w:tcPr>
            <w:tcW w:w="2268" w:type="dxa"/>
          </w:tcPr>
          <w:p w:rsidR="00F166E7" w:rsidRDefault="00F166E7" w:rsidP="00F166E7">
            <w:pPr>
              <w:ind w:left="0"/>
              <w:jc w:val="center"/>
              <w:cnfStyle w:val="000000000000" w:firstRow="0" w:lastRow="0" w:firstColumn="0" w:lastColumn="0" w:oddVBand="0" w:evenVBand="0" w:oddHBand="0" w:evenHBand="0" w:firstRowFirstColumn="0" w:firstRowLastColumn="0" w:lastRowFirstColumn="0" w:lastRowLastColumn="0"/>
            </w:pPr>
            <w:r>
              <w:t>67.5</w:t>
            </w:r>
          </w:p>
        </w:tc>
      </w:tr>
    </w:tbl>
    <w:p w:rsidR="000859EB" w:rsidRDefault="000859EB" w:rsidP="00E77D20">
      <w:pPr>
        <w:ind w:left="0"/>
        <w:rPr>
          <w:sz w:val="16"/>
          <w:szCs w:val="16"/>
        </w:rPr>
      </w:pPr>
    </w:p>
    <w:p w:rsidR="00657D72" w:rsidRDefault="000859EB" w:rsidP="00E77D20">
      <w:pPr>
        <w:ind w:left="0"/>
      </w:pPr>
      <w:r w:rsidRPr="00B830D4">
        <w:rPr>
          <w:sz w:val="16"/>
          <w:szCs w:val="16"/>
        </w:rPr>
        <w:t>Fuente: investigación realizada de Mayo a Septiembre de 2011. En los Hospitales Médico Quirúrgico y General del ISSS</w:t>
      </w:r>
      <w:r>
        <w:rPr>
          <w:sz w:val="16"/>
          <w:szCs w:val="16"/>
        </w:rPr>
        <w:t>. San salvador</w:t>
      </w:r>
    </w:p>
    <w:p w:rsidR="00F166E7" w:rsidRDefault="00F166E7" w:rsidP="00E77D20">
      <w:pPr>
        <w:ind w:left="0"/>
      </w:pPr>
    </w:p>
    <w:p w:rsidR="00F166E7" w:rsidRDefault="00F166E7" w:rsidP="00E77D20">
      <w:pPr>
        <w:ind w:left="0"/>
      </w:pPr>
    </w:p>
    <w:p w:rsidR="00117A89" w:rsidRDefault="00117A89" w:rsidP="00E77D20">
      <w:pPr>
        <w:ind w:left="0"/>
      </w:pPr>
    </w:p>
    <w:p w:rsidR="00117A89" w:rsidRDefault="00117A89" w:rsidP="00E77D20">
      <w:pPr>
        <w:ind w:left="0"/>
      </w:pPr>
    </w:p>
    <w:p w:rsidR="00E77D20" w:rsidRDefault="000A585D" w:rsidP="00E77D20">
      <w:pPr>
        <w:ind w:left="0"/>
      </w:pPr>
      <w:r>
        <w:t>Grafico N°2</w:t>
      </w:r>
      <w:r w:rsidR="00B830D4">
        <w:t xml:space="preserve"> Distribución de pacientes según sexo </w:t>
      </w:r>
    </w:p>
    <w:p w:rsidR="000A585D" w:rsidRDefault="000A585D" w:rsidP="00E77D20">
      <w:pPr>
        <w:ind w:left="0"/>
      </w:pPr>
    </w:p>
    <w:p w:rsidR="000A585D" w:rsidRDefault="000F4F3F" w:rsidP="00E77D20">
      <w:pPr>
        <w:ind w:left="0"/>
      </w:pPr>
      <w:r>
        <w:rPr>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3921125</wp:posOffset>
                </wp:positionH>
                <wp:positionV relativeFrom="paragraph">
                  <wp:posOffset>1439545</wp:posOffset>
                </wp:positionV>
                <wp:extent cx="613410" cy="247015"/>
                <wp:effectExtent l="0" t="0" r="1524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47015"/>
                        </a:xfrm>
                        <a:prstGeom prst="rect">
                          <a:avLst/>
                        </a:prstGeom>
                        <a:solidFill>
                          <a:srgbClr val="FFFFFF"/>
                        </a:solidFill>
                        <a:ln w="9525">
                          <a:solidFill>
                            <a:srgbClr val="000000"/>
                          </a:solidFill>
                          <a:miter lim="800000"/>
                          <a:headEnd/>
                          <a:tailEnd/>
                        </a:ln>
                      </wps:spPr>
                      <wps:txbx>
                        <w:txbxContent>
                          <w:p w:rsidR="00B7593F" w:rsidRPr="00633A6F" w:rsidRDefault="00B7593F" w:rsidP="00633A6F">
                            <w:pPr>
                              <w:ind w:left="0"/>
                              <w:rPr>
                                <w:sz w:val="20"/>
                                <w:szCs w:val="20"/>
                                <w:lang w:val="en-US"/>
                              </w:rPr>
                            </w:pPr>
                            <w:proofErr w:type="gramStart"/>
                            <w:r w:rsidRPr="00633A6F">
                              <w:rPr>
                                <w:sz w:val="20"/>
                                <w:szCs w:val="20"/>
                              </w:rPr>
                              <w:t>n</w:t>
                            </w:r>
                            <w:proofErr w:type="gramEnd"/>
                            <w:r w:rsidRPr="00633A6F">
                              <w:rPr>
                                <w:sz w:val="20"/>
                                <w:szCs w:val="20"/>
                              </w:rPr>
                              <w:t>: 160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08.75pt;margin-top:113.35pt;width:48.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">
                <v:textbox style="mso-fit-shape-to-text:t">
                  <w:txbxContent>
                    <w:p w:rsidR="00B7593F" w:rsidRPr="00633A6F" w:rsidRDefault="00B7593F" w:rsidP="00633A6F">
                      <w:pPr>
                        <w:ind w:left="0"/>
                        <w:rPr>
                          <w:sz w:val="20"/>
                          <w:szCs w:val="20"/>
                          <w:lang w:val="en-US"/>
                        </w:rPr>
                      </w:pPr>
                      <w:proofErr w:type="gramStart"/>
                      <w:r w:rsidRPr="00633A6F">
                        <w:rPr>
                          <w:sz w:val="20"/>
                          <w:szCs w:val="20"/>
                        </w:rPr>
                        <w:t>n</w:t>
                      </w:r>
                      <w:proofErr w:type="gramEnd"/>
                      <w:r w:rsidRPr="00633A6F">
                        <w:rPr>
                          <w:sz w:val="20"/>
                          <w:szCs w:val="20"/>
                        </w:rPr>
                        <w:t>: 160</w:t>
                      </w:r>
                    </w:p>
                  </w:txbxContent>
                </v:textbox>
              </v:shape>
            </w:pict>
          </mc:Fallback>
        </mc:AlternateContent>
      </w:r>
      <w:r w:rsidR="000A585D">
        <w:rPr>
          <w:noProof/>
          <w:lang w:val="es-SV" w:eastAsia="es-SV"/>
        </w:rPr>
        <w:drawing>
          <wp:inline distT="0" distB="0" distL="0" distR="0">
            <wp:extent cx="5057775" cy="26003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6913" w:rsidRDefault="00106913" w:rsidP="00E77D20">
      <w:pPr>
        <w:ind w:left="0"/>
        <w:rPr>
          <w:sz w:val="16"/>
          <w:szCs w:val="16"/>
        </w:rPr>
      </w:pPr>
    </w:p>
    <w:p w:rsidR="000A585D" w:rsidRPr="00633A6F" w:rsidRDefault="00633A6F" w:rsidP="00E77D20">
      <w:pPr>
        <w:ind w:left="0"/>
        <w:rPr>
          <w:sz w:val="16"/>
          <w:szCs w:val="16"/>
        </w:rPr>
      </w:pPr>
      <w:r w:rsidRPr="00633A6F">
        <w:rPr>
          <w:sz w:val="16"/>
          <w:szCs w:val="16"/>
        </w:rPr>
        <w:t>Fuente: investigación realizada de Mayo a Septiembre de 2011. En los Hospitales Médico Quirúrgico y General del ISSS. San salvador</w:t>
      </w:r>
    </w:p>
    <w:p w:rsidR="000A585D" w:rsidRDefault="000A585D" w:rsidP="00E77D20">
      <w:pPr>
        <w:ind w:left="0"/>
      </w:pPr>
    </w:p>
    <w:p w:rsidR="000A585D" w:rsidRPr="00A943A1" w:rsidRDefault="000A585D" w:rsidP="00E77D20">
      <w:pPr>
        <w:ind w:left="0"/>
      </w:pPr>
    </w:p>
    <w:p w:rsidR="000859EB" w:rsidRDefault="000859EB" w:rsidP="00E77D20">
      <w:pPr>
        <w:ind w:left="0"/>
      </w:pPr>
    </w:p>
    <w:p w:rsidR="000859EB" w:rsidRDefault="000859EB" w:rsidP="00E77D20">
      <w:pPr>
        <w:ind w:left="0"/>
      </w:pPr>
    </w:p>
    <w:p w:rsidR="000859EB" w:rsidRDefault="000859EB" w:rsidP="00E77D20">
      <w:pPr>
        <w:ind w:left="0"/>
      </w:pPr>
    </w:p>
    <w:p w:rsidR="00D7147B" w:rsidRDefault="00D7147B" w:rsidP="00E77D20">
      <w:pPr>
        <w:ind w:left="0"/>
      </w:pPr>
    </w:p>
    <w:p w:rsidR="00D1751D" w:rsidRDefault="00D1751D" w:rsidP="00E77D20">
      <w:pPr>
        <w:ind w:left="0"/>
      </w:pPr>
    </w:p>
    <w:p w:rsidR="00E77D20" w:rsidRPr="00A943A1" w:rsidRDefault="000A585D" w:rsidP="00E77D20">
      <w:pPr>
        <w:ind w:left="0"/>
      </w:pPr>
      <w:r>
        <w:t>Grafico N°3</w:t>
      </w:r>
      <w:r w:rsidR="00633A6F">
        <w:t xml:space="preserve"> Distribución de pacientes según rangos de edad</w:t>
      </w:r>
    </w:p>
    <w:p w:rsidR="00E77D20" w:rsidRDefault="00E77D20" w:rsidP="00E77D20">
      <w:pPr>
        <w:ind w:left="0"/>
      </w:pPr>
    </w:p>
    <w:p w:rsidR="000A585D" w:rsidRPr="00A943A1" w:rsidRDefault="000F4F3F" w:rsidP="00E77D20">
      <w:pPr>
        <w:ind w:left="0"/>
      </w:pPr>
      <w:r>
        <w:rPr>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3470910</wp:posOffset>
                </wp:positionH>
                <wp:positionV relativeFrom="paragraph">
                  <wp:posOffset>1871345</wp:posOffset>
                </wp:positionV>
                <wp:extent cx="626110" cy="247015"/>
                <wp:effectExtent l="0" t="0" r="21590" b="203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47015"/>
                        </a:xfrm>
                        <a:prstGeom prst="rect">
                          <a:avLst/>
                        </a:prstGeom>
                        <a:solidFill>
                          <a:srgbClr val="FFFFFF"/>
                        </a:solidFill>
                        <a:ln w="9525">
                          <a:solidFill>
                            <a:srgbClr val="000000"/>
                          </a:solidFill>
                          <a:miter lim="800000"/>
                          <a:headEnd/>
                          <a:tailEnd/>
                        </a:ln>
                      </wps:spPr>
                      <wps:txbx>
                        <w:txbxContent>
                          <w:p w:rsidR="00B7593F" w:rsidRPr="00633A6F" w:rsidRDefault="00B7593F" w:rsidP="00633A6F">
                            <w:pPr>
                              <w:ind w:left="0"/>
                              <w:rPr>
                                <w:sz w:val="20"/>
                                <w:szCs w:val="20"/>
                                <w:lang w:val="en-US"/>
                              </w:rPr>
                            </w:pPr>
                            <w:proofErr w:type="gramStart"/>
                            <w:r>
                              <w:rPr>
                                <w:sz w:val="20"/>
                                <w:szCs w:val="20"/>
                              </w:rPr>
                              <w:t>n</w:t>
                            </w:r>
                            <w:proofErr w:type="gramEnd"/>
                            <w:r w:rsidRPr="00633A6F">
                              <w:rPr>
                                <w:sz w:val="20"/>
                                <w:szCs w:val="20"/>
                              </w:rPr>
                              <w:t>: 160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273.3pt;margin-top:147.35pt;width:49.3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AKQIAAFY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">
                <v:textbox style="mso-fit-shape-to-text:t">
                  <w:txbxContent>
                    <w:p w:rsidR="00B7593F" w:rsidRPr="00633A6F" w:rsidRDefault="00B7593F" w:rsidP="00633A6F">
                      <w:pPr>
                        <w:ind w:left="0"/>
                        <w:rPr>
                          <w:sz w:val="20"/>
                          <w:szCs w:val="20"/>
                          <w:lang w:val="en-US"/>
                        </w:rPr>
                      </w:pPr>
                      <w:proofErr w:type="gramStart"/>
                      <w:r>
                        <w:rPr>
                          <w:sz w:val="20"/>
                          <w:szCs w:val="20"/>
                        </w:rPr>
                        <w:t>n</w:t>
                      </w:r>
                      <w:proofErr w:type="gramEnd"/>
                      <w:r w:rsidRPr="00633A6F">
                        <w:rPr>
                          <w:sz w:val="20"/>
                          <w:szCs w:val="20"/>
                        </w:rPr>
                        <w:t>: 160</w:t>
                      </w:r>
                    </w:p>
                  </w:txbxContent>
                </v:textbox>
              </v:shape>
            </w:pict>
          </mc:Fallback>
        </mc:AlternateContent>
      </w:r>
      <w:r w:rsidR="000A585D">
        <w:rPr>
          <w:noProof/>
          <w:lang w:val="es-SV" w:eastAsia="es-SV"/>
        </w:rPr>
        <w:drawing>
          <wp:inline distT="0" distB="0" distL="0" distR="0">
            <wp:extent cx="5057775" cy="27622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6913" w:rsidRDefault="00106913" w:rsidP="00633A6F">
      <w:pPr>
        <w:ind w:left="0"/>
        <w:rPr>
          <w:sz w:val="16"/>
          <w:szCs w:val="16"/>
        </w:rPr>
      </w:pPr>
    </w:p>
    <w:p w:rsidR="00633A6F" w:rsidRPr="00633A6F" w:rsidRDefault="00633A6F" w:rsidP="00633A6F">
      <w:pPr>
        <w:ind w:left="0"/>
        <w:rPr>
          <w:sz w:val="16"/>
          <w:szCs w:val="16"/>
        </w:rPr>
      </w:pPr>
      <w:r w:rsidRPr="00633A6F">
        <w:rPr>
          <w:sz w:val="16"/>
          <w:szCs w:val="16"/>
        </w:rPr>
        <w:t>Fuente: investigación realizada de Mayo a Septiembre de 2011. En los Hospitales Médico Quirúrgico y General del ISSS. San salvador</w:t>
      </w:r>
    </w:p>
    <w:p w:rsidR="00E77D20" w:rsidRPr="00A943A1" w:rsidRDefault="00E77D20" w:rsidP="00E77D20">
      <w:pPr>
        <w:ind w:left="0"/>
      </w:pPr>
    </w:p>
    <w:p w:rsidR="00E77D20" w:rsidRPr="00A943A1" w:rsidRDefault="00E77D20" w:rsidP="00E77D20">
      <w:pPr>
        <w:ind w:left="0"/>
      </w:pPr>
    </w:p>
    <w:p w:rsidR="00633A6F" w:rsidRDefault="00633A6F" w:rsidP="00E77D20">
      <w:pPr>
        <w:ind w:left="0"/>
      </w:pPr>
    </w:p>
    <w:p w:rsidR="00D7147B" w:rsidRDefault="00D7147B" w:rsidP="00E77D20">
      <w:pPr>
        <w:ind w:left="0"/>
      </w:pPr>
    </w:p>
    <w:p w:rsidR="00E77D20" w:rsidRDefault="00543D48" w:rsidP="00E77D20">
      <w:pPr>
        <w:ind w:left="0"/>
      </w:pPr>
      <w:r>
        <w:t>TABLAN°</w:t>
      </w:r>
      <w:r w:rsidR="00117A89">
        <w:t xml:space="preserve"> 2.</w:t>
      </w:r>
      <w:r w:rsidR="00633A6F">
        <w:t xml:space="preserve"> Comorbilidades asociadas a Hemorragia Digestiva Alta Activa</w:t>
      </w:r>
    </w:p>
    <w:p w:rsidR="00C53865" w:rsidRPr="00A943A1" w:rsidRDefault="00C53865" w:rsidP="00E77D20">
      <w:pPr>
        <w:ind w:left="0"/>
      </w:pPr>
    </w:p>
    <w:tbl>
      <w:tblPr>
        <w:tblStyle w:val="LightList"/>
        <w:tblW w:w="0" w:type="auto"/>
        <w:tblLook w:val="04A0" w:firstRow="1" w:lastRow="0" w:firstColumn="1" w:lastColumn="0" w:noHBand="0" w:noVBand="1"/>
      </w:tblPr>
      <w:tblGrid>
        <w:gridCol w:w="3207"/>
        <w:gridCol w:w="1977"/>
        <w:gridCol w:w="1793"/>
      </w:tblGrid>
      <w:tr w:rsidR="004D7285" w:rsidRPr="004D7285" w:rsidTr="00117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4D7285" w:rsidRPr="004D7285" w:rsidRDefault="004D7285" w:rsidP="004D7285">
            <w:pPr>
              <w:ind w:left="0"/>
              <w:jc w:val="center"/>
              <w:rPr>
                <w:b w:val="0"/>
              </w:rPr>
            </w:pPr>
            <w:r w:rsidRPr="004D7285">
              <w:rPr>
                <w:b w:val="0"/>
              </w:rPr>
              <w:t>Enfermedades Asociadas</w:t>
            </w:r>
          </w:p>
        </w:tc>
        <w:tc>
          <w:tcPr>
            <w:tcW w:w="1977" w:type="dxa"/>
          </w:tcPr>
          <w:p w:rsidR="004D7285" w:rsidRPr="004D7285" w:rsidRDefault="004D7285" w:rsidP="004D7285">
            <w:pPr>
              <w:ind w:left="0"/>
              <w:jc w:val="center"/>
              <w:cnfStyle w:val="100000000000" w:firstRow="1" w:lastRow="0" w:firstColumn="0" w:lastColumn="0" w:oddVBand="0" w:evenVBand="0" w:oddHBand="0" w:evenHBand="0" w:firstRowFirstColumn="0" w:firstRowLastColumn="0" w:lastRowFirstColumn="0" w:lastRowLastColumn="0"/>
              <w:rPr>
                <w:b w:val="0"/>
              </w:rPr>
            </w:pPr>
            <w:r w:rsidRPr="004D7285">
              <w:rPr>
                <w:b w:val="0"/>
              </w:rPr>
              <w:t xml:space="preserve">Pacientes </w:t>
            </w:r>
          </w:p>
        </w:tc>
        <w:tc>
          <w:tcPr>
            <w:tcW w:w="1793" w:type="dxa"/>
          </w:tcPr>
          <w:p w:rsidR="004D7285" w:rsidRPr="004D7285" w:rsidRDefault="004D7285" w:rsidP="004D7285">
            <w:pPr>
              <w:ind w:left="0"/>
              <w:jc w:val="center"/>
              <w:cnfStyle w:val="100000000000" w:firstRow="1" w:lastRow="0" w:firstColumn="0" w:lastColumn="0" w:oddVBand="0" w:evenVBand="0" w:oddHBand="0" w:evenHBand="0" w:firstRowFirstColumn="0" w:firstRowLastColumn="0" w:lastRowFirstColumn="0" w:lastRowLastColumn="0"/>
              <w:rPr>
                <w:b w:val="0"/>
              </w:rPr>
            </w:pPr>
            <w:r w:rsidRPr="004D7285">
              <w:rPr>
                <w:b w:val="0"/>
              </w:rPr>
              <w:t>Pacientes (%)</w:t>
            </w:r>
          </w:p>
        </w:tc>
      </w:tr>
      <w:tr w:rsidR="004D7285" w:rsidTr="0011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4D7285" w:rsidRDefault="004D7285" w:rsidP="00E77D20">
            <w:pPr>
              <w:ind w:left="0"/>
            </w:pPr>
            <w:r>
              <w:t>Hipertensión Arterial</w:t>
            </w:r>
          </w:p>
        </w:tc>
        <w:tc>
          <w:tcPr>
            <w:tcW w:w="1977" w:type="dxa"/>
          </w:tcPr>
          <w:p w:rsidR="004D7285" w:rsidRDefault="004D7285" w:rsidP="004D7285">
            <w:pPr>
              <w:ind w:left="0"/>
              <w:jc w:val="center"/>
              <w:cnfStyle w:val="000000100000" w:firstRow="0" w:lastRow="0" w:firstColumn="0" w:lastColumn="0" w:oddVBand="0" w:evenVBand="0" w:oddHBand="1" w:evenHBand="0" w:firstRowFirstColumn="0" w:firstRowLastColumn="0" w:lastRowFirstColumn="0" w:lastRowLastColumn="0"/>
            </w:pPr>
            <w:r>
              <w:t>36</w:t>
            </w:r>
          </w:p>
        </w:tc>
        <w:tc>
          <w:tcPr>
            <w:tcW w:w="1793" w:type="dxa"/>
          </w:tcPr>
          <w:p w:rsidR="004D7285" w:rsidRDefault="004D7285" w:rsidP="00AC544C">
            <w:pPr>
              <w:ind w:left="0"/>
              <w:jc w:val="center"/>
              <w:cnfStyle w:val="000000100000" w:firstRow="0" w:lastRow="0" w:firstColumn="0" w:lastColumn="0" w:oddVBand="0" w:evenVBand="0" w:oddHBand="1" w:evenHBand="0" w:firstRowFirstColumn="0" w:firstRowLastColumn="0" w:lastRowFirstColumn="0" w:lastRowLastColumn="0"/>
            </w:pPr>
            <w:r>
              <w:t>20%</w:t>
            </w:r>
          </w:p>
        </w:tc>
      </w:tr>
      <w:tr w:rsidR="004D7285" w:rsidTr="00117A89">
        <w:tc>
          <w:tcPr>
            <w:cnfStyle w:val="001000000000" w:firstRow="0" w:lastRow="0" w:firstColumn="1" w:lastColumn="0" w:oddVBand="0" w:evenVBand="0" w:oddHBand="0" w:evenHBand="0" w:firstRowFirstColumn="0" w:firstRowLastColumn="0" w:lastRowFirstColumn="0" w:lastRowLastColumn="0"/>
            <w:tcW w:w="3207" w:type="dxa"/>
          </w:tcPr>
          <w:p w:rsidR="004D7285" w:rsidRDefault="004D7285" w:rsidP="00E77D20">
            <w:pPr>
              <w:ind w:left="0"/>
            </w:pPr>
            <w:r>
              <w:t>Hernia de Hiato</w:t>
            </w:r>
          </w:p>
        </w:tc>
        <w:tc>
          <w:tcPr>
            <w:tcW w:w="1977" w:type="dxa"/>
          </w:tcPr>
          <w:p w:rsidR="004D7285" w:rsidRDefault="004D7285" w:rsidP="004D7285">
            <w:pPr>
              <w:ind w:left="0"/>
              <w:jc w:val="center"/>
              <w:cnfStyle w:val="000000000000" w:firstRow="0" w:lastRow="0" w:firstColumn="0" w:lastColumn="0" w:oddVBand="0" w:evenVBand="0" w:oddHBand="0" w:evenHBand="0" w:firstRowFirstColumn="0" w:firstRowLastColumn="0" w:lastRowFirstColumn="0" w:lastRowLastColumn="0"/>
            </w:pPr>
            <w:r>
              <w:t>44</w:t>
            </w:r>
          </w:p>
        </w:tc>
        <w:tc>
          <w:tcPr>
            <w:tcW w:w="1793" w:type="dxa"/>
          </w:tcPr>
          <w:p w:rsidR="004D7285" w:rsidRDefault="004D7285" w:rsidP="00AC544C">
            <w:pPr>
              <w:ind w:left="0"/>
              <w:jc w:val="center"/>
              <w:cnfStyle w:val="000000000000" w:firstRow="0" w:lastRow="0" w:firstColumn="0" w:lastColumn="0" w:oddVBand="0" w:evenVBand="0" w:oddHBand="0" w:evenHBand="0" w:firstRowFirstColumn="0" w:firstRowLastColumn="0" w:lastRowFirstColumn="0" w:lastRowLastColumn="0"/>
            </w:pPr>
            <w:r>
              <w:t>25%</w:t>
            </w:r>
          </w:p>
        </w:tc>
      </w:tr>
      <w:tr w:rsidR="004D7285" w:rsidTr="0011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4D7285" w:rsidRDefault="004D7285" w:rsidP="00E77D20">
            <w:pPr>
              <w:ind w:left="0"/>
            </w:pPr>
            <w:r>
              <w:t>Diabetes Mellitus</w:t>
            </w:r>
          </w:p>
        </w:tc>
        <w:tc>
          <w:tcPr>
            <w:tcW w:w="1977" w:type="dxa"/>
          </w:tcPr>
          <w:p w:rsidR="004D7285" w:rsidRDefault="004D7285" w:rsidP="004D7285">
            <w:pPr>
              <w:ind w:left="0"/>
              <w:jc w:val="center"/>
              <w:cnfStyle w:val="000000100000" w:firstRow="0" w:lastRow="0" w:firstColumn="0" w:lastColumn="0" w:oddVBand="0" w:evenVBand="0" w:oddHBand="1" w:evenHBand="0" w:firstRowFirstColumn="0" w:firstRowLastColumn="0" w:lastRowFirstColumn="0" w:lastRowLastColumn="0"/>
            </w:pPr>
            <w:r>
              <w:t>20</w:t>
            </w:r>
          </w:p>
        </w:tc>
        <w:tc>
          <w:tcPr>
            <w:tcW w:w="1793" w:type="dxa"/>
          </w:tcPr>
          <w:p w:rsidR="004D7285" w:rsidRDefault="004D7285" w:rsidP="00AC544C">
            <w:pPr>
              <w:ind w:left="0"/>
              <w:jc w:val="center"/>
              <w:cnfStyle w:val="000000100000" w:firstRow="0" w:lastRow="0" w:firstColumn="0" w:lastColumn="0" w:oddVBand="0" w:evenVBand="0" w:oddHBand="1" w:evenHBand="0" w:firstRowFirstColumn="0" w:firstRowLastColumn="0" w:lastRowFirstColumn="0" w:lastRowLastColumn="0"/>
            </w:pPr>
            <w:r>
              <w:t>11.3%</w:t>
            </w:r>
          </w:p>
        </w:tc>
      </w:tr>
      <w:tr w:rsidR="004D7285" w:rsidTr="00117A89">
        <w:tc>
          <w:tcPr>
            <w:cnfStyle w:val="001000000000" w:firstRow="0" w:lastRow="0" w:firstColumn="1" w:lastColumn="0" w:oddVBand="0" w:evenVBand="0" w:oddHBand="0" w:evenHBand="0" w:firstRowFirstColumn="0" w:firstRowLastColumn="0" w:lastRowFirstColumn="0" w:lastRowLastColumn="0"/>
            <w:tcW w:w="3207" w:type="dxa"/>
          </w:tcPr>
          <w:p w:rsidR="004D7285" w:rsidRDefault="004D7285" w:rsidP="00E77D20">
            <w:pPr>
              <w:ind w:left="0"/>
            </w:pPr>
            <w:r>
              <w:t>Cirrosis Hepática</w:t>
            </w:r>
          </w:p>
        </w:tc>
        <w:tc>
          <w:tcPr>
            <w:tcW w:w="1977" w:type="dxa"/>
          </w:tcPr>
          <w:p w:rsidR="004D7285" w:rsidRDefault="004D7285" w:rsidP="004D7285">
            <w:pPr>
              <w:ind w:left="0"/>
              <w:jc w:val="center"/>
              <w:cnfStyle w:val="000000000000" w:firstRow="0" w:lastRow="0" w:firstColumn="0" w:lastColumn="0" w:oddVBand="0" w:evenVBand="0" w:oddHBand="0" w:evenHBand="0" w:firstRowFirstColumn="0" w:firstRowLastColumn="0" w:lastRowFirstColumn="0" w:lastRowLastColumn="0"/>
            </w:pPr>
            <w:r>
              <w:t>36</w:t>
            </w:r>
          </w:p>
        </w:tc>
        <w:tc>
          <w:tcPr>
            <w:tcW w:w="1793" w:type="dxa"/>
          </w:tcPr>
          <w:p w:rsidR="004D7285" w:rsidRDefault="004D7285" w:rsidP="00AC544C">
            <w:pPr>
              <w:ind w:left="0"/>
              <w:jc w:val="center"/>
              <w:cnfStyle w:val="000000000000" w:firstRow="0" w:lastRow="0" w:firstColumn="0" w:lastColumn="0" w:oddVBand="0" w:evenVBand="0" w:oddHBand="0" w:evenHBand="0" w:firstRowFirstColumn="0" w:firstRowLastColumn="0" w:lastRowFirstColumn="0" w:lastRowLastColumn="0"/>
            </w:pPr>
            <w:r>
              <w:t>20%</w:t>
            </w:r>
          </w:p>
        </w:tc>
      </w:tr>
      <w:tr w:rsidR="004D7285" w:rsidTr="0011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4D7285" w:rsidRDefault="004D7285" w:rsidP="00E77D20">
            <w:pPr>
              <w:ind w:left="0"/>
            </w:pPr>
            <w:r>
              <w:t>Esofagitis</w:t>
            </w:r>
          </w:p>
        </w:tc>
        <w:tc>
          <w:tcPr>
            <w:tcW w:w="1977" w:type="dxa"/>
          </w:tcPr>
          <w:p w:rsidR="004D7285" w:rsidRDefault="004D7285" w:rsidP="004D7285">
            <w:pPr>
              <w:ind w:left="0"/>
              <w:jc w:val="center"/>
              <w:cnfStyle w:val="000000100000" w:firstRow="0" w:lastRow="0" w:firstColumn="0" w:lastColumn="0" w:oddVBand="0" w:evenVBand="0" w:oddHBand="1" w:evenHBand="0" w:firstRowFirstColumn="0" w:firstRowLastColumn="0" w:lastRowFirstColumn="0" w:lastRowLastColumn="0"/>
            </w:pPr>
            <w:r>
              <w:t>20</w:t>
            </w:r>
          </w:p>
        </w:tc>
        <w:tc>
          <w:tcPr>
            <w:tcW w:w="1793" w:type="dxa"/>
          </w:tcPr>
          <w:p w:rsidR="004D7285" w:rsidRDefault="004D7285" w:rsidP="00AC544C">
            <w:pPr>
              <w:ind w:left="0"/>
              <w:jc w:val="center"/>
              <w:cnfStyle w:val="000000100000" w:firstRow="0" w:lastRow="0" w:firstColumn="0" w:lastColumn="0" w:oddVBand="0" w:evenVBand="0" w:oddHBand="1" w:evenHBand="0" w:firstRowFirstColumn="0" w:firstRowLastColumn="0" w:lastRowFirstColumn="0" w:lastRowLastColumn="0"/>
            </w:pPr>
            <w:r>
              <w:t>11.3%</w:t>
            </w:r>
          </w:p>
        </w:tc>
      </w:tr>
      <w:tr w:rsidR="004D7285" w:rsidTr="00117A89">
        <w:tc>
          <w:tcPr>
            <w:cnfStyle w:val="001000000000" w:firstRow="0" w:lastRow="0" w:firstColumn="1" w:lastColumn="0" w:oddVBand="0" w:evenVBand="0" w:oddHBand="0" w:evenHBand="0" w:firstRowFirstColumn="0" w:firstRowLastColumn="0" w:lastRowFirstColumn="0" w:lastRowLastColumn="0"/>
            <w:tcW w:w="3207" w:type="dxa"/>
          </w:tcPr>
          <w:p w:rsidR="004D7285" w:rsidRDefault="004D7285" w:rsidP="00E77D20">
            <w:pPr>
              <w:ind w:left="0"/>
            </w:pPr>
            <w:r>
              <w:t>Otros</w:t>
            </w:r>
          </w:p>
        </w:tc>
        <w:tc>
          <w:tcPr>
            <w:tcW w:w="1977" w:type="dxa"/>
          </w:tcPr>
          <w:p w:rsidR="004D7285" w:rsidRDefault="004D7285" w:rsidP="004D7285">
            <w:pPr>
              <w:ind w:left="0"/>
              <w:jc w:val="center"/>
              <w:cnfStyle w:val="000000000000" w:firstRow="0" w:lastRow="0" w:firstColumn="0" w:lastColumn="0" w:oddVBand="0" w:evenVBand="0" w:oddHBand="0" w:evenHBand="0" w:firstRowFirstColumn="0" w:firstRowLastColumn="0" w:lastRowFirstColumn="0" w:lastRowLastColumn="0"/>
            </w:pPr>
            <w:r>
              <w:t>36</w:t>
            </w:r>
          </w:p>
        </w:tc>
        <w:tc>
          <w:tcPr>
            <w:tcW w:w="1793" w:type="dxa"/>
          </w:tcPr>
          <w:p w:rsidR="004D7285" w:rsidRDefault="004D7285" w:rsidP="00AC544C">
            <w:pPr>
              <w:ind w:left="0"/>
              <w:jc w:val="center"/>
              <w:cnfStyle w:val="000000000000" w:firstRow="0" w:lastRow="0" w:firstColumn="0" w:lastColumn="0" w:oddVBand="0" w:evenVBand="0" w:oddHBand="0" w:evenHBand="0" w:firstRowFirstColumn="0" w:firstRowLastColumn="0" w:lastRowFirstColumn="0" w:lastRowLastColumn="0"/>
            </w:pPr>
            <w:r>
              <w:t>11.4%</w:t>
            </w:r>
          </w:p>
        </w:tc>
      </w:tr>
    </w:tbl>
    <w:p w:rsidR="00106913" w:rsidRDefault="00106913" w:rsidP="00106913">
      <w:pPr>
        <w:ind w:left="0"/>
        <w:rPr>
          <w:sz w:val="16"/>
          <w:szCs w:val="16"/>
        </w:rPr>
      </w:pPr>
    </w:p>
    <w:p w:rsidR="00106913" w:rsidRPr="00633A6F" w:rsidRDefault="00106913" w:rsidP="00106913">
      <w:pPr>
        <w:ind w:left="0"/>
        <w:rPr>
          <w:sz w:val="16"/>
          <w:szCs w:val="16"/>
        </w:rPr>
      </w:pPr>
      <w:r w:rsidRPr="00633A6F">
        <w:rPr>
          <w:sz w:val="16"/>
          <w:szCs w:val="16"/>
        </w:rPr>
        <w:t>Fuente: investigación realizada de Mayo a Septiembre de 2011. En los Hospitales Médico Quirúrgico y General del ISSS. San salvador</w:t>
      </w:r>
    </w:p>
    <w:p w:rsidR="00E77D20" w:rsidRPr="00A943A1" w:rsidRDefault="00E77D20" w:rsidP="00E77D20">
      <w:pPr>
        <w:ind w:left="0"/>
      </w:pPr>
    </w:p>
    <w:p w:rsidR="00E77D20" w:rsidRPr="00A943A1" w:rsidRDefault="00E77D20" w:rsidP="00E77D20">
      <w:pPr>
        <w:ind w:left="0"/>
      </w:pPr>
    </w:p>
    <w:p w:rsidR="000859EB" w:rsidRDefault="000859EB" w:rsidP="00106913">
      <w:pPr>
        <w:tabs>
          <w:tab w:val="left" w:pos="2205"/>
        </w:tabs>
        <w:ind w:left="0"/>
      </w:pPr>
    </w:p>
    <w:p w:rsidR="000859EB" w:rsidRDefault="000859EB" w:rsidP="00106913">
      <w:pPr>
        <w:tabs>
          <w:tab w:val="left" w:pos="2205"/>
        </w:tabs>
        <w:ind w:left="0"/>
      </w:pPr>
    </w:p>
    <w:p w:rsidR="000859EB" w:rsidRDefault="000859EB" w:rsidP="00106913">
      <w:pPr>
        <w:tabs>
          <w:tab w:val="left" w:pos="2205"/>
        </w:tabs>
        <w:ind w:left="0"/>
      </w:pPr>
    </w:p>
    <w:p w:rsidR="000859EB" w:rsidRDefault="000859EB" w:rsidP="00106913">
      <w:pPr>
        <w:tabs>
          <w:tab w:val="left" w:pos="2205"/>
        </w:tabs>
        <w:ind w:left="0"/>
      </w:pPr>
    </w:p>
    <w:p w:rsidR="007575CA" w:rsidRDefault="007575CA" w:rsidP="00106913">
      <w:pPr>
        <w:tabs>
          <w:tab w:val="left" w:pos="2205"/>
        </w:tabs>
        <w:ind w:left="0"/>
      </w:pPr>
    </w:p>
    <w:p w:rsidR="007575CA" w:rsidRDefault="007575CA" w:rsidP="00106913">
      <w:pPr>
        <w:tabs>
          <w:tab w:val="left" w:pos="2205"/>
        </w:tabs>
        <w:ind w:left="0"/>
      </w:pPr>
    </w:p>
    <w:p w:rsidR="00543D48" w:rsidRDefault="00543D48" w:rsidP="00106913">
      <w:pPr>
        <w:tabs>
          <w:tab w:val="left" w:pos="2205"/>
        </w:tabs>
        <w:ind w:left="0"/>
      </w:pPr>
      <w:r>
        <w:t>Grafico</w:t>
      </w:r>
      <w:r w:rsidR="00106913">
        <w:t xml:space="preserve"> N</w:t>
      </w:r>
      <w:r w:rsidR="00106913" w:rsidRPr="00106913">
        <w:rPr>
          <w:vertAlign w:val="superscript"/>
        </w:rPr>
        <w:t>o</w:t>
      </w:r>
      <w:r w:rsidR="00106913">
        <w:t>4 distribución de pacientes según uso de medicamentos</w:t>
      </w:r>
    </w:p>
    <w:p w:rsidR="00543D48" w:rsidRPr="00106913" w:rsidRDefault="00543D48" w:rsidP="00E77D20">
      <w:pPr>
        <w:ind w:left="0"/>
      </w:pPr>
    </w:p>
    <w:p w:rsidR="003B41DD" w:rsidRPr="00106913" w:rsidRDefault="003B41DD" w:rsidP="003B41DD">
      <w:pPr>
        <w:pStyle w:val="Caption"/>
        <w:keepNext/>
        <w:ind w:left="0"/>
        <w:jc w:val="center"/>
        <w:rPr>
          <w:color w:val="auto"/>
          <w:sz w:val="24"/>
          <w:szCs w:val="24"/>
        </w:rPr>
      </w:pPr>
      <w:r w:rsidRPr="00106913">
        <w:rPr>
          <w:color w:val="auto"/>
          <w:sz w:val="24"/>
          <w:szCs w:val="24"/>
        </w:rPr>
        <w:t>Hemorragia Digestiva Alta Activa según uso de medicamentos asociados en los usuarios de los Hospitales Médico Quirúrgico y General del ISSS</w:t>
      </w:r>
      <w:r w:rsidR="00106913" w:rsidRPr="00106913">
        <w:rPr>
          <w:color w:val="auto"/>
          <w:sz w:val="24"/>
          <w:szCs w:val="24"/>
        </w:rPr>
        <w:t>. Mayo a Septiembre 2011.</w:t>
      </w:r>
    </w:p>
    <w:p w:rsidR="00CA3099" w:rsidRDefault="000F4F3F" w:rsidP="00CA3099">
      <w:pPr>
        <w:keepNext/>
        <w:ind w:left="0"/>
      </w:pPr>
      <w:r>
        <w:rPr>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4456430</wp:posOffset>
                </wp:positionH>
                <wp:positionV relativeFrom="paragraph">
                  <wp:posOffset>1414780</wp:posOffset>
                </wp:positionV>
                <wp:extent cx="578485" cy="247015"/>
                <wp:effectExtent l="0" t="0" r="12065" b="203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47015"/>
                        </a:xfrm>
                        <a:prstGeom prst="rect">
                          <a:avLst/>
                        </a:prstGeom>
                        <a:solidFill>
                          <a:srgbClr val="FFFFFF"/>
                        </a:solidFill>
                        <a:ln w="9525">
                          <a:solidFill>
                            <a:srgbClr val="000000"/>
                          </a:solidFill>
                          <a:miter lim="800000"/>
                          <a:headEnd/>
                          <a:tailEnd/>
                        </a:ln>
                      </wps:spPr>
                      <wps:txbx>
                        <w:txbxContent>
                          <w:p w:rsidR="00B7593F" w:rsidRPr="00106913" w:rsidRDefault="00B7593F" w:rsidP="00106913">
                            <w:pPr>
                              <w:ind w:left="0"/>
                              <w:rPr>
                                <w:sz w:val="20"/>
                                <w:szCs w:val="20"/>
                                <w:lang w:val="en-US"/>
                              </w:rPr>
                            </w:pPr>
                            <w:proofErr w:type="gramStart"/>
                            <w:r w:rsidRPr="00106913">
                              <w:rPr>
                                <w:sz w:val="20"/>
                                <w:szCs w:val="20"/>
                              </w:rPr>
                              <w:t>n</w:t>
                            </w:r>
                            <w:proofErr w:type="gramEnd"/>
                            <w:r w:rsidRPr="00106913">
                              <w:rPr>
                                <w:sz w:val="20"/>
                                <w:szCs w:val="20"/>
                              </w:rPr>
                              <w:t>: 160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350.9pt;margin-top:111.4pt;width:45.5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">
                <v:textbox style="mso-fit-shape-to-text:t">
                  <w:txbxContent>
                    <w:p w:rsidR="00B7593F" w:rsidRPr="00106913" w:rsidRDefault="00B7593F" w:rsidP="00106913">
                      <w:pPr>
                        <w:ind w:left="0"/>
                        <w:rPr>
                          <w:sz w:val="20"/>
                          <w:szCs w:val="20"/>
                          <w:lang w:val="en-US"/>
                        </w:rPr>
                      </w:pPr>
                      <w:proofErr w:type="gramStart"/>
                      <w:r w:rsidRPr="00106913">
                        <w:rPr>
                          <w:sz w:val="20"/>
                          <w:szCs w:val="20"/>
                        </w:rPr>
                        <w:t>n</w:t>
                      </w:r>
                      <w:proofErr w:type="gramEnd"/>
                      <w:r w:rsidRPr="00106913">
                        <w:rPr>
                          <w:sz w:val="20"/>
                          <w:szCs w:val="20"/>
                        </w:rPr>
                        <w:t>: 160</w:t>
                      </w:r>
                    </w:p>
                  </w:txbxContent>
                </v:textbox>
              </v:shape>
            </w:pict>
          </mc:Fallback>
        </mc:AlternateContent>
      </w:r>
      <w:r w:rsidR="00543D48">
        <w:rPr>
          <w:noProof/>
          <w:lang w:val="es-SV" w:eastAsia="es-SV"/>
        </w:rPr>
        <w:drawing>
          <wp:inline distT="0" distB="0" distL="0" distR="0">
            <wp:extent cx="5433238" cy="2828261"/>
            <wp:effectExtent l="0" t="0" r="15240"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6913" w:rsidRDefault="00106913" w:rsidP="00106913">
      <w:pPr>
        <w:ind w:left="0"/>
        <w:rPr>
          <w:sz w:val="16"/>
          <w:szCs w:val="16"/>
        </w:rPr>
      </w:pPr>
    </w:p>
    <w:p w:rsidR="00106913" w:rsidRPr="00633A6F" w:rsidRDefault="00106913" w:rsidP="00106913">
      <w:pPr>
        <w:ind w:left="0"/>
        <w:rPr>
          <w:sz w:val="16"/>
          <w:szCs w:val="16"/>
        </w:rPr>
      </w:pPr>
      <w:r w:rsidRPr="00633A6F">
        <w:rPr>
          <w:sz w:val="16"/>
          <w:szCs w:val="16"/>
        </w:rPr>
        <w:t>Fuente: investigación realizada de Mayo a Septiembre de 2011. En los Hospitales Médico Quirúrgico y General del ISSS. San salvador</w:t>
      </w:r>
    </w:p>
    <w:p w:rsidR="00E77D20" w:rsidRDefault="00E77D20" w:rsidP="00E77D20">
      <w:pPr>
        <w:ind w:left="0"/>
      </w:pPr>
    </w:p>
    <w:p w:rsidR="00846298" w:rsidRDefault="00846298" w:rsidP="00E77D20">
      <w:pPr>
        <w:ind w:left="0"/>
      </w:pPr>
    </w:p>
    <w:p w:rsidR="003B41DD" w:rsidRPr="00846298" w:rsidRDefault="003B41DD" w:rsidP="00E77D20">
      <w:pPr>
        <w:ind w:left="0"/>
      </w:pPr>
      <w:r>
        <w:t>Tabla</w:t>
      </w:r>
      <w:r w:rsidR="00846298">
        <w:t xml:space="preserve"> N</w:t>
      </w:r>
      <w:r w:rsidR="00846298" w:rsidRPr="00846298">
        <w:rPr>
          <w:vertAlign w:val="superscript"/>
        </w:rPr>
        <w:t>0</w:t>
      </w:r>
      <w:r w:rsidR="00D7147B">
        <w:t xml:space="preserve"> 3</w:t>
      </w:r>
      <w:r w:rsidR="00846298">
        <w:t xml:space="preserve"> hallazgos endoscópicos asociados a Hemorragia Digestiva Alta Activa. </w:t>
      </w:r>
    </w:p>
    <w:p w:rsidR="003B41DD" w:rsidRDefault="003B41DD" w:rsidP="00E77D20">
      <w:pPr>
        <w:ind w:left="0"/>
      </w:pPr>
    </w:p>
    <w:tbl>
      <w:tblPr>
        <w:tblStyle w:val="LightList"/>
        <w:tblW w:w="0" w:type="auto"/>
        <w:tblLook w:val="04A0" w:firstRow="1" w:lastRow="0" w:firstColumn="1" w:lastColumn="0" w:noHBand="0" w:noVBand="1"/>
      </w:tblPr>
      <w:tblGrid>
        <w:gridCol w:w="3111"/>
        <w:gridCol w:w="1337"/>
        <w:gridCol w:w="1777"/>
      </w:tblGrid>
      <w:tr w:rsidR="003B41DD" w:rsidTr="00846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086CA1">
            <w:pPr>
              <w:ind w:left="0"/>
            </w:pPr>
            <w:r>
              <w:t xml:space="preserve">Hallazgos </w:t>
            </w:r>
            <w:r w:rsidR="00846298">
              <w:t>endoscópicos</w:t>
            </w:r>
          </w:p>
        </w:tc>
        <w:tc>
          <w:tcPr>
            <w:tcW w:w="0" w:type="auto"/>
          </w:tcPr>
          <w:p w:rsidR="003B41DD" w:rsidRDefault="00086CA1" w:rsidP="00E77D20">
            <w:pPr>
              <w:ind w:left="0"/>
              <w:cnfStyle w:val="100000000000" w:firstRow="1" w:lastRow="0" w:firstColumn="0" w:lastColumn="0" w:oddVBand="0" w:evenVBand="0" w:oddHBand="0" w:evenHBand="0" w:firstRowFirstColumn="0" w:firstRowLastColumn="0" w:lastRowFirstColumn="0" w:lastRowLastColumn="0"/>
            </w:pPr>
            <w:r>
              <w:t>P</w:t>
            </w:r>
            <w:r w:rsidR="003B41DD">
              <w:t>acientes</w:t>
            </w:r>
          </w:p>
        </w:tc>
        <w:tc>
          <w:tcPr>
            <w:tcW w:w="0" w:type="auto"/>
          </w:tcPr>
          <w:p w:rsidR="003B41DD" w:rsidRDefault="003B41DD" w:rsidP="00E77D20">
            <w:pPr>
              <w:ind w:left="0"/>
              <w:cnfStyle w:val="100000000000" w:firstRow="1" w:lastRow="0" w:firstColumn="0" w:lastColumn="0" w:oddVBand="0" w:evenVBand="0" w:oddHBand="0" w:evenHBand="0" w:firstRowFirstColumn="0" w:firstRowLastColumn="0" w:lastRowFirstColumn="0" w:lastRowLastColumn="0"/>
            </w:pPr>
            <w:r>
              <w:t>Pacientes (%)</w:t>
            </w:r>
          </w:p>
        </w:tc>
      </w:tr>
      <w:tr w:rsidR="003B41DD" w:rsidTr="00846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E77D20">
            <w:pPr>
              <w:ind w:left="0"/>
            </w:pPr>
            <w:r>
              <w:t>Gastritis Erosiva</w:t>
            </w:r>
          </w:p>
        </w:tc>
        <w:tc>
          <w:tcPr>
            <w:tcW w:w="0" w:type="auto"/>
          </w:tcPr>
          <w:p w:rsidR="003B41DD" w:rsidRDefault="003B41DD" w:rsidP="003B41DD">
            <w:pPr>
              <w:ind w:left="0"/>
              <w:jc w:val="center"/>
              <w:cnfStyle w:val="000000100000" w:firstRow="0" w:lastRow="0" w:firstColumn="0" w:lastColumn="0" w:oddVBand="0" w:evenVBand="0" w:oddHBand="1" w:evenHBand="0" w:firstRowFirstColumn="0" w:firstRowLastColumn="0" w:lastRowFirstColumn="0" w:lastRowLastColumn="0"/>
            </w:pPr>
            <w:r>
              <w:t>56</w:t>
            </w:r>
          </w:p>
        </w:tc>
        <w:tc>
          <w:tcPr>
            <w:tcW w:w="0" w:type="auto"/>
          </w:tcPr>
          <w:p w:rsidR="003B41DD" w:rsidRDefault="00086CA1" w:rsidP="003B41DD">
            <w:pPr>
              <w:ind w:left="0"/>
              <w:jc w:val="center"/>
              <w:cnfStyle w:val="000000100000" w:firstRow="0" w:lastRow="0" w:firstColumn="0" w:lastColumn="0" w:oddVBand="0" w:evenVBand="0" w:oddHBand="1" w:evenHBand="0" w:firstRowFirstColumn="0" w:firstRowLastColumn="0" w:lastRowFirstColumn="0" w:lastRowLastColumn="0"/>
            </w:pPr>
            <w:r>
              <w:t>33.3%</w:t>
            </w:r>
          </w:p>
        </w:tc>
      </w:tr>
      <w:tr w:rsidR="003B41DD" w:rsidTr="00846298">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E77D20">
            <w:pPr>
              <w:ind w:left="0"/>
            </w:pPr>
            <w:r>
              <w:t>Gastritis Antral Erosiva</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24</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14.3%</w:t>
            </w:r>
          </w:p>
        </w:tc>
      </w:tr>
      <w:tr w:rsidR="003B41DD" w:rsidTr="00846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1DD" w:rsidRDefault="007575CA" w:rsidP="00E77D20">
            <w:pPr>
              <w:ind w:left="0"/>
            </w:pPr>
            <w:r>
              <w:t>Gastritis Fú</w:t>
            </w:r>
            <w:r w:rsidR="003B41DD">
              <w:t>ndica Erosiva</w:t>
            </w:r>
          </w:p>
        </w:tc>
        <w:tc>
          <w:tcPr>
            <w:tcW w:w="0" w:type="auto"/>
          </w:tcPr>
          <w:p w:rsidR="003B41DD" w:rsidRDefault="00086CA1" w:rsidP="003B41DD">
            <w:pPr>
              <w:ind w:left="0"/>
              <w:jc w:val="center"/>
              <w:cnfStyle w:val="000000100000" w:firstRow="0" w:lastRow="0" w:firstColumn="0" w:lastColumn="0" w:oddVBand="0" w:evenVBand="0" w:oddHBand="1" w:evenHBand="0" w:firstRowFirstColumn="0" w:firstRowLastColumn="0" w:lastRowFirstColumn="0" w:lastRowLastColumn="0"/>
            </w:pPr>
            <w:r>
              <w:t>4</w:t>
            </w:r>
          </w:p>
        </w:tc>
        <w:tc>
          <w:tcPr>
            <w:tcW w:w="0" w:type="auto"/>
          </w:tcPr>
          <w:p w:rsidR="003B41DD" w:rsidRDefault="00086CA1" w:rsidP="003B41DD">
            <w:pPr>
              <w:ind w:left="0"/>
              <w:jc w:val="center"/>
              <w:cnfStyle w:val="000000100000" w:firstRow="0" w:lastRow="0" w:firstColumn="0" w:lastColumn="0" w:oddVBand="0" w:evenVBand="0" w:oddHBand="1" w:evenHBand="0" w:firstRowFirstColumn="0" w:firstRowLastColumn="0" w:lastRowFirstColumn="0" w:lastRowLastColumn="0"/>
            </w:pPr>
            <w:r>
              <w:t>2.4%</w:t>
            </w:r>
          </w:p>
        </w:tc>
      </w:tr>
      <w:tr w:rsidR="003B41DD" w:rsidTr="00846298">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E77D20">
            <w:pPr>
              <w:ind w:left="0"/>
            </w:pPr>
            <w:r>
              <w:t xml:space="preserve">Varices </w:t>
            </w:r>
            <w:r w:rsidR="007575CA">
              <w:t>Esofágicas</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40</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23.8%</w:t>
            </w:r>
          </w:p>
        </w:tc>
      </w:tr>
      <w:tr w:rsidR="003B41DD" w:rsidTr="00846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3B41DD">
            <w:pPr>
              <w:ind w:left="0"/>
            </w:pPr>
            <w:r>
              <w:t>Esofagitis Erosiva</w:t>
            </w:r>
          </w:p>
        </w:tc>
        <w:tc>
          <w:tcPr>
            <w:tcW w:w="0" w:type="auto"/>
          </w:tcPr>
          <w:p w:rsidR="003B41DD" w:rsidRDefault="00086CA1" w:rsidP="003B41DD">
            <w:pPr>
              <w:ind w:left="0"/>
              <w:jc w:val="center"/>
              <w:cnfStyle w:val="000000100000" w:firstRow="0" w:lastRow="0" w:firstColumn="0" w:lastColumn="0" w:oddVBand="0" w:evenVBand="0" w:oddHBand="1" w:evenHBand="0" w:firstRowFirstColumn="0" w:firstRowLastColumn="0" w:lastRowFirstColumn="0" w:lastRowLastColumn="0"/>
            </w:pPr>
            <w:r>
              <w:t>4</w:t>
            </w:r>
          </w:p>
        </w:tc>
        <w:tc>
          <w:tcPr>
            <w:tcW w:w="0" w:type="auto"/>
          </w:tcPr>
          <w:p w:rsidR="003B41DD" w:rsidRDefault="00086CA1" w:rsidP="003B41DD">
            <w:pPr>
              <w:ind w:left="0"/>
              <w:jc w:val="center"/>
              <w:cnfStyle w:val="000000100000" w:firstRow="0" w:lastRow="0" w:firstColumn="0" w:lastColumn="0" w:oddVBand="0" w:evenVBand="0" w:oddHBand="1" w:evenHBand="0" w:firstRowFirstColumn="0" w:firstRowLastColumn="0" w:lastRowFirstColumn="0" w:lastRowLastColumn="0"/>
            </w:pPr>
            <w:r>
              <w:t>2.4%</w:t>
            </w:r>
          </w:p>
        </w:tc>
      </w:tr>
      <w:tr w:rsidR="003B41DD" w:rsidTr="00846298">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E77D20">
            <w:pPr>
              <w:ind w:left="0"/>
            </w:pPr>
            <w:r>
              <w:t>Ulcera duodenal Activa</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4.8%</w:t>
            </w:r>
          </w:p>
        </w:tc>
      </w:tr>
      <w:tr w:rsidR="003B41DD" w:rsidTr="00846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E77D20">
            <w:pPr>
              <w:ind w:left="0"/>
            </w:pPr>
            <w:r>
              <w:t xml:space="preserve">Ulcera </w:t>
            </w:r>
            <w:r w:rsidR="007575CA">
              <w:t>Gástrica</w:t>
            </w:r>
            <w:r>
              <w:t xml:space="preserve"> Activa</w:t>
            </w:r>
          </w:p>
        </w:tc>
        <w:tc>
          <w:tcPr>
            <w:tcW w:w="0" w:type="auto"/>
          </w:tcPr>
          <w:p w:rsidR="003B41DD" w:rsidRDefault="00086CA1" w:rsidP="003B41DD">
            <w:pPr>
              <w:ind w:left="0"/>
              <w:jc w:val="center"/>
              <w:cnfStyle w:val="000000100000" w:firstRow="0" w:lastRow="0" w:firstColumn="0" w:lastColumn="0" w:oddVBand="0" w:evenVBand="0" w:oddHBand="1" w:evenHBand="0" w:firstRowFirstColumn="0" w:firstRowLastColumn="0" w:lastRowFirstColumn="0" w:lastRowLastColumn="0"/>
            </w:pPr>
            <w:r>
              <w:t>28</w:t>
            </w:r>
          </w:p>
        </w:tc>
        <w:tc>
          <w:tcPr>
            <w:tcW w:w="0" w:type="auto"/>
          </w:tcPr>
          <w:p w:rsidR="003B41DD" w:rsidRDefault="00086CA1" w:rsidP="003B41DD">
            <w:pPr>
              <w:ind w:left="0"/>
              <w:jc w:val="center"/>
              <w:cnfStyle w:val="000000100000" w:firstRow="0" w:lastRow="0" w:firstColumn="0" w:lastColumn="0" w:oddVBand="0" w:evenVBand="0" w:oddHBand="1" w:evenHBand="0" w:firstRowFirstColumn="0" w:firstRowLastColumn="0" w:lastRowFirstColumn="0" w:lastRowLastColumn="0"/>
            </w:pPr>
            <w:r>
              <w:t>16.6%</w:t>
            </w:r>
          </w:p>
        </w:tc>
      </w:tr>
      <w:tr w:rsidR="003B41DD" w:rsidTr="00846298">
        <w:tc>
          <w:tcPr>
            <w:cnfStyle w:val="001000000000" w:firstRow="0" w:lastRow="0" w:firstColumn="1" w:lastColumn="0" w:oddVBand="0" w:evenVBand="0" w:oddHBand="0" w:evenHBand="0" w:firstRowFirstColumn="0" w:firstRowLastColumn="0" w:lastRowFirstColumn="0" w:lastRowLastColumn="0"/>
            <w:tcW w:w="0" w:type="auto"/>
          </w:tcPr>
          <w:p w:rsidR="003B41DD" w:rsidRDefault="003B41DD" w:rsidP="00E77D20">
            <w:pPr>
              <w:ind w:left="0"/>
            </w:pPr>
            <w:r>
              <w:t xml:space="preserve">Cáncer </w:t>
            </w:r>
            <w:r w:rsidR="007575CA">
              <w:t>Gástrico</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4</w:t>
            </w:r>
          </w:p>
        </w:tc>
        <w:tc>
          <w:tcPr>
            <w:tcW w:w="0" w:type="auto"/>
          </w:tcPr>
          <w:p w:rsidR="003B41DD" w:rsidRDefault="00086CA1" w:rsidP="003B41DD">
            <w:pPr>
              <w:ind w:left="0"/>
              <w:jc w:val="center"/>
              <w:cnfStyle w:val="000000000000" w:firstRow="0" w:lastRow="0" w:firstColumn="0" w:lastColumn="0" w:oddVBand="0" w:evenVBand="0" w:oddHBand="0" w:evenHBand="0" w:firstRowFirstColumn="0" w:firstRowLastColumn="0" w:lastRowFirstColumn="0" w:lastRowLastColumn="0"/>
            </w:pPr>
            <w:r>
              <w:t>2.4%</w:t>
            </w:r>
          </w:p>
        </w:tc>
      </w:tr>
    </w:tbl>
    <w:p w:rsidR="00846298" w:rsidRDefault="00846298" w:rsidP="00846298">
      <w:pPr>
        <w:ind w:left="0"/>
      </w:pPr>
    </w:p>
    <w:p w:rsidR="00846298" w:rsidRPr="00633A6F" w:rsidRDefault="00846298" w:rsidP="00846298">
      <w:pPr>
        <w:ind w:left="0"/>
        <w:rPr>
          <w:sz w:val="16"/>
          <w:szCs w:val="16"/>
        </w:rPr>
      </w:pPr>
      <w:r w:rsidRPr="00633A6F">
        <w:rPr>
          <w:sz w:val="16"/>
          <w:szCs w:val="16"/>
        </w:rPr>
        <w:t>Fuente: investigación realizada de Mayo a Septiembre de 2011. En los Hospitales Médico Quirúrgico y General del ISSS. San salvador</w:t>
      </w:r>
    </w:p>
    <w:p w:rsidR="007575CA" w:rsidRDefault="007575CA" w:rsidP="00846298">
      <w:pPr>
        <w:ind w:left="0"/>
        <w:jc w:val="center"/>
        <w:rPr>
          <w:b/>
        </w:rPr>
      </w:pPr>
    </w:p>
    <w:p w:rsidR="007575CA" w:rsidRDefault="007575CA" w:rsidP="00846298">
      <w:pPr>
        <w:ind w:left="0"/>
        <w:jc w:val="center"/>
        <w:rPr>
          <w:b/>
        </w:rPr>
      </w:pPr>
    </w:p>
    <w:p w:rsidR="003B41DD" w:rsidRPr="00086CA1" w:rsidRDefault="00846298" w:rsidP="00846298">
      <w:pPr>
        <w:ind w:left="0"/>
        <w:jc w:val="center"/>
        <w:rPr>
          <w:b/>
        </w:rPr>
      </w:pPr>
      <w:r>
        <w:rPr>
          <w:b/>
        </w:rPr>
        <w:lastRenderedPageBreak/>
        <w:t xml:space="preserve">8. </w:t>
      </w:r>
      <w:r w:rsidR="00086CA1" w:rsidRPr="00086CA1">
        <w:rPr>
          <w:b/>
        </w:rPr>
        <w:t>DISCUSION DE LOS RESULTADOS</w:t>
      </w:r>
    </w:p>
    <w:p w:rsidR="003B41DD" w:rsidRDefault="003B41DD" w:rsidP="00E77D20">
      <w:pPr>
        <w:ind w:left="0"/>
      </w:pPr>
    </w:p>
    <w:p w:rsidR="00134440" w:rsidRDefault="00846298" w:rsidP="00E77D20">
      <w:pPr>
        <w:ind w:left="0"/>
      </w:pPr>
      <w:r>
        <w:t>Como se propuso en la hipótesis,</w:t>
      </w:r>
      <w:r w:rsidR="00C21A0D">
        <w:t xml:space="preserve"> </w:t>
      </w:r>
      <w:r>
        <w:t xml:space="preserve">la </w:t>
      </w:r>
      <w:r w:rsidR="00134440">
        <w:t>escala UNAL de discriminación de sangrado activo en Hemorragia Digestiva Alta fue efectiva para determinar quienes ameritaron una endoscopia temprana y efectivamente se encontró sangrado activo para su tratamiento oportuno.</w:t>
      </w:r>
    </w:p>
    <w:p w:rsidR="00E04308" w:rsidRDefault="00E04308" w:rsidP="00E77D20">
      <w:pPr>
        <w:ind w:left="0"/>
      </w:pPr>
    </w:p>
    <w:p w:rsidR="003B41DD" w:rsidRDefault="00134440" w:rsidP="00E77D20">
      <w:pPr>
        <w:ind w:left="0"/>
      </w:pPr>
      <w:r>
        <w:t xml:space="preserve">Así pues podemos decir que la escala UNAL fue efectiva en el 95% de los casos evaluados, encontrando </w:t>
      </w:r>
      <w:r w:rsidR="000859EB">
        <w:t>que solo en un 5%, es decir 8 pacientes, la escala se quedó corta para determinar el sangrado activo en ellos.</w:t>
      </w:r>
    </w:p>
    <w:p w:rsidR="00E04308" w:rsidRDefault="00E04308" w:rsidP="00E77D20">
      <w:pPr>
        <w:ind w:left="0"/>
      </w:pPr>
    </w:p>
    <w:p w:rsidR="000859EB" w:rsidRDefault="000859EB" w:rsidP="00E77D20">
      <w:pPr>
        <w:ind w:left="0"/>
      </w:pPr>
      <w:r>
        <w:t xml:space="preserve">Los hallazgos clínicos </w:t>
      </w:r>
      <w:r w:rsidR="003F3EB2">
        <w:t xml:space="preserve">y de laboratorio </w:t>
      </w:r>
      <w:r w:rsidR="007575CA">
        <w:t>más</w:t>
      </w:r>
      <w:r w:rsidR="003F3EB2">
        <w:t xml:space="preserve"> destacados son el encontrar sangre en la sonda nasogástrica pues se encontró en el 100% de los cuadros evaluados, en segundo lugar el descenso de hemoglobina por debajo de 8 gr/dl se encontró en el 95 %, cuyo hallazgo es de los puntaje</w:t>
      </w:r>
      <w:r w:rsidR="00C727E3">
        <w:t>s má</w:t>
      </w:r>
      <w:r w:rsidR="003F3EB2">
        <w:t>s altos</w:t>
      </w:r>
      <w:r w:rsidR="00C727E3">
        <w:t xml:space="preserve"> en esta escala, le sigue la leucocitosis con un alto porcentaje, se equipara la lipotimia junto a la inestabilidad hemodinámica con un 68% aproximadamente y por ultimo aunque nada despreciable se encontraron 72 paciente mayores de 65 años que muchas veces se complican solo por tener una edad avanzada.</w:t>
      </w:r>
    </w:p>
    <w:p w:rsidR="00E04308" w:rsidRDefault="00E04308" w:rsidP="00E77D20">
      <w:pPr>
        <w:ind w:left="0"/>
      </w:pPr>
    </w:p>
    <w:p w:rsidR="00C727E3" w:rsidRDefault="00C727E3" w:rsidP="00E77D20">
      <w:pPr>
        <w:ind w:left="0"/>
      </w:pPr>
      <w:r>
        <w:t xml:space="preserve">Al observar el comportamiento de la hemorragia digestiva alta con sangrado activo en este estudio se encontró mayormente afectado el sexo femenino </w:t>
      </w:r>
      <w:r w:rsidR="00B42C72">
        <w:t>con casi un 70%, esto se podría deber al hecho que durante la recolección de datos cumplían más criterios de inclusión ellas que los hombres o bien a las mujeres consultaron más.</w:t>
      </w:r>
    </w:p>
    <w:p w:rsidR="00E04308" w:rsidRDefault="00E04308" w:rsidP="00E77D20">
      <w:pPr>
        <w:ind w:left="0"/>
      </w:pPr>
    </w:p>
    <w:p w:rsidR="00B42C72" w:rsidRDefault="00B42C72" w:rsidP="00E77D20">
      <w:pPr>
        <w:ind w:left="0"/>
      </w:pPr>
      <w:r>
        <w:t>Ahora lo que respecta a rangos de edad se hicieron las distribuciones en cuatro grupos encontrándose la mayor proporción de pacientes en el grupo de mayores de 60 años, es decir más del 50% de toda la población estudiada, lo que está acorde a la literatura internacional</w:t>
      </w:r>
      <w:r w:rsidR="00D7147B">
        <w:t>, además encontramos personas adultas jóvenes presentando cuadros de Hemorragia Digestiva Alta activa en un porcentaje nada despreciable.</w:t>
      </w:r>
    </w:p>
    <w:p w:rsidR="00E04308" w:rsidRDefault="00E04308" w:rsidP="00E77D20">
      <w:pPr>
        <w:ind w:left="0"/>
      </w:pPr>
    </w:p>
    <w:p w:rsidR="00D7147B" w:rsidRDefault="00D7147B" w:rsidP="00E77D20">
      <w:pPr>
        <w:ind w:left="0"/>
      </w:pPr>
      <w:r>
        <w:t xml:space="preserve">De las enfermedades asociadas que se detectaron en este estudio son en orden de frecuencia las </w:t>
      </w:r>
      <w:r w:rsidR="00D74973">
        <w:t>anormalidade</w:t>
      </w:r>
      <w:r>
        <w:t>s gástricas como la Hernia del Hiato y la Esofagitis</w:t>
      </w:r>
      <w:r w:rsidR="00D74973">
        <w:t>,</w:t>
      </w:r>
      <w:r>
        <w:t xml:space="preserve"> que juntas se encontraron casi en el 40 % de los pacientes evaluados, le sigue la cirrosis hepática, en tercer lugar la hipertensión</w:t>
      </w:r>
      <w:r w:rsidR="00D74973">
        <w:t xml:space="preserve"> arterial</w:t>
      </w:r>
      <w:r>
        <w:t xml:space="preserve">, la cual en si no está reportada como causa de hemorragia digestiva alta pero que dentro de sus muy variados síntomas se presentan cefaleas, </w:t>
      </w:r>
      <w:r w:rsidR="00D74973">
        <w:t xml:space="preserve">malestar general, etc. que predisponen a la población al uso de fármacos y estos podrían influenciar el aparecimiento de lesiones gástricas sangrantes; también encontramos enfermedades como diabetes que al igual que la hipertensión arterial no son causas conocidas pero predisponen al uso de medicamentos que lastiman la mucosa gástrica. </w:t>
      </w:r>
    </w:p>
    <w:p w:rsidR="00B42C72" w:rsidRDefault="00D74973" w:rsidP="00E77D20">
      <w:pPr>
        <w:ind w:left="0"/>
      </w:pPr>
      <w:r>
        <w:lastRenderedPageBreak/>
        <w:t>Por ultimo entre otras enfermedades encontradas tenemos la insuficiencia renal crónica terminal, osteoartritis que aunque no son causas directas conocidas de hemorragia digestiva predisponen al paciente a esta, debido a sus complicaciones.</w:t>
      </w:r>
    </w:p>
    <w:p w:rsidR="00E04308" w:rsidRDefault="00E04308" w:rsidP="00E77D20">
      <w:pPr>
        <w:ind w:left="0"/>
      </w:pPr>
    </w:p>
    <w:p w:rsidR="00D74973" w:rsidRDefault="00D74973" w:rsidP="00E77D20">
      <w:pPr>
        <w:ind w:left="0"/>
      </w:pPr>
      <w:r>
        <w:t xml:space="preserve">Respecto al uso de fármacos </w:t>
      </w:r>
      <w:r w:rsidR="00360E2D">
        <w:t>se encontró que al menos un 40% de la población utilizo antiinflamatorios no esteroideos, previamente al inicio de la hemorragia digestiva alta, pero un 60% no los utilizaba. De la misma manera alrededor de un 43% de la población utilizaba antihipertensivos durante las manifestaciones del sangrado activo.</w:t>
      </w:r>
    </w:p>
    <w:p w:rsidR="00E04308" w:rsidRDefault="00E04308" w:rsidP="00E77D20">
      <w:pPr>
        <w:ind w:left="0"/>
      </w:pPr>
    </w:p>
    <w:p w:rsidR="00360E2D" w:rsidRDefault="00360E2D" w:rsidP="00E77D20">
      <w:pPr>
        <w:ind w:left="0"/>
      </w:pPr>
      <w:r>
        <w:t>Ahora de las patologías que se encontraron al realizar la endoscopia casi un 34% de la población sufría de gastritis erosiva, es decir compromiso de una gran parte de la mucosa gástrica que abarcaba más de 2 áreas del estómago. Las varices esofágicas, en cualquier grado, fueron el segundo hallazgo más frecuente con casi un 24%</w:t>
      </w:r>
      <w:r w:rsidR="00E04308">
        <w:t xml:space="preserve">, le sigue las ulceras gástricas con un 17%, gastritis erosiva </w:t>
      </w:r>
      <w:proofErr w:type="spellStart"/>
      <w:r w:rsidR="00E04308">
        <w:t>antral</w:t>
      </w:r>
      <w:proofErr w:type="spellEnd"/>
      <w:r w:rsidR="00E04308">
        <w:t xml:space="preserve"> con un 14%, y por último la ulcera duodenal activa, la gastritis fúndica erosiva, la esofagitis erosiva y carcinoma gástrico invasivo encontramos en menos de 5%, cada una de ellas. </w:t>
      </w:r>
    </w:p>
    <w:p w:rsidR="003B41DD" w:rsidRDefault="003B41DD" w:rsidP="00E77D20">
      <w:pPr>
        <w:ind w:left="0"/>
      </w:pPr>
    </w:p>
    <w:p w:rsidR="003B41DD" w:rsidRDefault="003B41DD" w:rsidP="00E77D20">
      <w:pPr>
        <w:ind w:left="0"/>
      </w:pPr>
    </w:p>
    <w:p w:rsidR="003B41DD" w:rsidRDefault="003B41DD" w:rsidP="00E77D20">
      <w:pPr>
        <w:ind w:left="0"/>
      </w:pPr>
    </w:p>
    <w:p w:rsidR="003B41DD" w:rsidRDefault="003B41DD" w:rsidP="00E77D20">
      <w:pPr>
        <w:ind w:left="0"/>
      </w:pPr>
    </w:p>
    <w:p w:rsidR="003B41DD" w:rsidRDefault="003B41DD" w:rsidP="00E77D20">
      <w:pPr>
        <w:ind w:left="0"/>
      </w:pPr>
    </w:p>
    <w:p w:rsidR="003B41DD" w:rsidRDefault="003B41DD" w:rsidP="00E77D20">
      <w:pPr>
        <w:ind w:left="0"/>
      </w:pPr>
    </w:p>
    <w:p w:rsidR="003B41DD" w:rsidRDefault="003B41DD" w:rsidP="00E77D20">
      <w:pPr>
        <w:ind w:left="0"/>
      </w:pPr>
    </w:p>
    <w:p w:rsidR="003B41DD" w:rsidRDefault="003B41DD" w:rsidP="00E77D20">
      <w:pPr>
        <w:ind w:left="0"/>
      </w:pPr>
    </w:p>
    <w:p w:rsidR="003B41DD" w:rsidRDefault="003B41DD"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Pr="00E04308" w:rsidRDefault="00E04308" w:rsidP="00E04308">
      <w:pPr>
        <w:ind w:left="0"/>
        <w:jc w:val="center"/>
        <w:rPr>
          <w:b/>
        </w:rPr>
      </w:pPr>
      <w:r w:rsidRPr="00E04308">
        <w:rPr>
          <w:b/>
        </w:rPr>
        <w:lastRenderedPageBreak/>
        <w:t>9. CONCLUSIONES</w:t>
      </w:r>
    </w:p>
    <w:p w:rsidR="00E04308" w:rsidRDefault="00E04308" w:rsidP="00E77D20">
      <w:pPr>
        <w:ind w:left="0"/>
      </w:pPr>
    </w:p>
    <w:p w:rsidR="00E04308" w:rsidRDefault="00E04308" w:rsidP="00E77D20">
      <w:pPr>
        <w:ind w:left="0"/>
      </w:pPr>
      <w:r>
        <w:t xml:space="preserve">9.1 </w:t>
      </w:r>
      <w:r w:rsidR="00631492">
        <w:t>Se logró determinar una adecuada efectividad de la escala UNAL para discriminar sangrado activo en Hemorragia Digestiva Alta y que ameritaban endoscopia temprana, es decir, en las primeras</w:t>
      </w:r>
      <w:r w:rsidR="00F17798">
        <w:t xml:space="preserve"> 12 horas de su ingreso para un tratamiento oportuno</w:t>
      </w:r>
      <w:r w:rsidR="00DA31F3">
        <w:t>.</w:t>
      </w:r>
    </w:p>
    <w:p w:rsidR="006647B5" w:rsidRDefault="006647B5" w:rsidP="00E77D20">
      <w:pPr>
        <w:ind w:left="0"/>
      </w:pPr>
    </w:p>
    <w:p w:rsidR="006647B5" w:rsidRDefault="006647B5" w:rsidP="00E77D20">
      <w:pPr>
        <w:ind w:left="0"/>
      </w:pPr>
      <w:r>
        <w:t>9.2 Los hallazgos clínicos y de laboratorio asociados al cálculo de la escala UNAL que se encontraron en orden de frecuencia son: sangre en el aspirado de sonda nasogástrica como la presente en todos los casos registrados, le sigue hemoglobina menor de 8 gr/dl, la leucocitosis fue encontrada en un alto porcentaje de los pacientes, le sigue la lipotimia y la inestabilidad hemodinámica y por ultimo aquellos pacientes mayores de 65 años los cuales fueron 72 individuos.</w:t>
      </w:r>
    </w:p>
    <w:p w:rsidR="00315C30" w:rsidRDefault="00315C30" w:rsidP="00E77D20">
      <w:pPr>
        <w:ind w:left="0"/>
      </w:pPr>
    </w:p>
    <w:p w:rsidR="00315C30" w:rsidRDefault="006647B5" w:rsidP="00E77D20">
      <w:pPr>
        <w:ind w:left="0"/>
      </w:pPr>
      <w:r>
        <w:t>9.3</w:t>
      </w:r>
      <w:r w:rsidR="006E0906">
        <w:t xml:space="preserve"> </w:t>
      </w:r>
      <w:r w:rsidR="00DA31F3">
        <w:t xml:space="preserve">Las enfermedades asociadas fueron en orden de frecuencia, la gastritis erosiva, las varices esofágicas, las ulceras gástricas, gastritis </w:t>
      </w:r>
      <w:proofErr w:type="spellStart"/>
      <w:r w:rsidR="00DA31F3">
        <w:t>antral</w:t>
      </w:r>
      <w:proofErr w:type="spellEnd"/>
      <w:r w:rsidR="00DA31F3">
        <w:t xml:space="preserve"> erosiva, y en la misma proporción la gastritis fúndica erosiva, esofagitis erosiva, la ulcera duodenal y el carcinoma gástrico invasivo.</w:t>
      </w:r>
    </w:p>
    <w:p w:rsidR="006647B5" w:rsidRDefault="006647B5" w:rsidP="00E77D20">
      <w:pPr>
        <w:ind w:left="0"/>
      </w:pPr>
      <w:r>
        <w:t>Cabe añadir que</w:t>
      </w:r>
      <w:r w:rsidR="007409C2">
        <w:t xml:space="preserve"> si bien no fue un hallazgo exuberante,</w:t>
      </w:r>
      <w:r>
        <w:t xml:space="preserve"> el 40% de la población estaba utilizando fármacos como antiinflamatorios no esteroideos o antihipertensivo</w:t>
      </w:r>
      <w:r w:rsidR="007409C2">
        <w:t xml:space="preserve"> al momento de presentarse con los síntomas de sangrado activo, sin poder determinar la relación de estos con el evento principal es decir la Hemorragia digestiva alta.</w:t>
      </w:r>
    </w:p>
    <w:p w:rsidR="00DA31F3" w:rsidRDefault="00DA31F3" w:rsidP="00E77D20">
      <w:pPr>
        <w:ind w:left="0"/>
      </w:pPr>
    </w:p>
    <w:p w:rsidR="007409C2" w:rsidRDefault="006647B5" w:rsidP="00E77D20">
      <w:pPr>
        <w:ind w:left="0"/>
      </w:pPr>
      <w:r>
        <w:t xml:space="preserve">9.4 </w:t>
      </w:r>
      <w:r w:rsidR="007409C2">
        <w:t>Se encontró que más de dos tercios de la población estudiada eran mujeres debido a que ellas consultan más que los hombres y cumplieron más con los criterios de inclusión sin poder demostrar la influencia del sexo sobre la predisposición a la hemorragia digestiva alta.</w:t>
      </w:r>
    </w:p>
    <w:p w:rsidR="00E04308" w:rsidRDefault="007409C2" w:rsidP="00E77D20">
      <w:pPr>
        <w:ind w:left="0"/>
      </w:pPr>
      <w:r>
        <w:t xml:space="preserve">Así mismo la edad, se encontró </w:t>
      </w:r>
      <w:r w:rsidR="00CC72C3">
        <w:t>que más de la mitad de los pacientes estudiados eran mayores de 60 años, cabe destacar que la edad es un parámetro importante para el cálculo de la escala UNAL, lo que hace pensar en la pobre evolución a la que pudiera predisponer la edad avanzada como tal.</w:t>
      </w:r>
    </w:p>
    <w:p w:rsidR="00CC72C3" w:rsidRDefault="00CC72C3" w:rsidP="00E77D20">
      <w:pPr>
        <w:ind w:left="0"/>
      </w:pPr>
    </w:p>
    <w:p w:rsidR="00CC72C3" w:rsidRDefault="00CC72C3"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E04308" w:rsidRDefault="00E04308" w:rsidP="00E77D20">
      <w:pPr>
        <w:ind w:left="0"/>
      </w:pPr>
    </w:p>
    <w:p w:rsidR="00CC72C3" w:rsidRDefault="00CC72C3" w:rsidP="00E77D20">
      <w:pPr>
        <w:ind w:left="0"/>
      </w:pPr>
    </w:p>
    <w:p w:rsidR="00CC72C3" w:rsidRDefault="00CC72C3" w:rsidP="00E77D20">
      <w:pPr>
        <w:ind w:left="0"/>
      </w:pPr>
    </w:p>
    <w:p w:rsidR="00CC72C3" w:rsidRDefault="00CC72C3" w:rsidP="00E77D20">
      <w:pPr>
        <w:ind w:left="0"/>
      </w:pPr>
    </w:p>
    <w:p w:rsidR="00CC72C3" w:rsidRDefault="00CC72C3" w:rsidP="00E77D20">
      <w:pPr>
        <w:ind w:left="0"/>
      </w:pPr>
    </w:p>
    <w:p w:rsidR="00E04308" w:rsidRDefault="00E04308" w:rsidP="00E77D20">
      <w:pPr>
        <w:ind w:left="0"/>
      </w:pPr>
    </w:p>
    <w:p w:rsidR="00E04308" w:rsidRPr="00E04308" w:rsidRDefault="00CC72C3" w:rsidP="00E04308">
      <w:pPr>
        <w:ind w:left="0"/>
        <w:jc w:val="center"/>
        <w:rPr>
          <w:b/>
        </w:rPr>
      </w:pPr>
      <w:r>
        <w:rPr>
          <w:b/>
        </w:rPr>
        <w:lastRenderedPageBreak/>
        <w:t>10</w:t>
      </w:r>
      <w:r w:rsidR="00E04308" w:rsidRPr="00E04308">
        <w:rPr>
          <w:b/>
        </w:rPr>
        <w:t>. RECOMENDACIONES</w:t>
      </w:r>
    </w:p>
    <w:p w:rsidR="00E04308" w:rsidRDefault="00E04308" w:rsidP="00E77D20">
      <w:pPr>
        <w:ind w:left="0"/>
      </w:pPr>
    </w:p>
    <w:p w:rsidR="00E04308" w:rsidRDefault="00CC72C3" w:rsidP="00CC72C3">
      <w:pPr>
        <w:pStyle w:val="ListParagraph"/>
        <w:numPr>
          <w:ilvl w:val="0"/>
          <w:numId w:val="46"/>
        </w:numPr>
      </w:pPr>
      <w:r>
        <w:t>Al Instituto Salvadoreño del Seguro Social</w:t>
      </w:r>
    </w:p>
    <w:p w:rsidR="00CC72C3" w:rsidRDefault="00CC72C3" w:rsidP="00CC72C3"/>
    <w:p w:rsidR="007575CA" w:rsidRDefault="004732AC" w:rsidP="004732AC">
      <w:pPr>
        <w:pStyle w:val="ListParagraph"/>
        <w:numPr>
          <w:ilvl w:val="0"/>
          <w:numId w:val="47"/>
        </w:numPr>
      </w:pPr>
      <w:r>
        <w:t>Realizar un estudio para lograr</w:t>
      </w:r>
      <w:r w:rsidR="007575CA">
        <w:t xml:space="preserve"> validar la escala UNAL de predicción de sangrado activo en Hemorragia Digestiva Alta a nivel institucional e incorporarlo a nuestras guías de manejo  y así tener una herramienta valiosa para utilizar mejor los pocos recursos de nuestros hospitales y dar la atención oportuna a nuestros pacientes.</w:t>
      </w:r>
    </w:p>
    <w:p w:rsidR="001838B0" w:rsidRDefault="001838B0" w:rsidP="001838B0">
      <w:pPr>
        <w:pStyle w:val="ListParagraph"/>
        <w:ind w:left="720"/>
      </w:pPr>
    </w:p>
    <w:p w:rsidR="00CC72C3" w:rsidRDefault="001838B0" w:rsidP="004732AC">
      <w:pPr>
        <w:pStyle w:val="ListParagraph"/>
        <w:numPr>
          <w:ilvl w:val="0"/>
          <w:numId w:val="47"/>
        </w:numPr>
      </w:pPr>
      <w:r>
        <w:t>modernizar el método de aprendizaje- enseñanzaque se lleva a cabo en los agregados especialistas y sub especialistas de nuestra institución para que año con año las normas y guías de manejo institucionales se fortalezcan con los conocimientos más actuales a cerca de las patologías, métodos de diagnóstico y tratamiento que hagan más eficiente la atención integral que damos a nuestros pacientes.</w:t>
      </w:r>
    </w:p>
    <w:p w:rsidR="00E04308" w:rsidRDefault="00E04308" w:rsidP="00E77D20">
      <w:pPr>
        <w:ind w:left="0"/>
      </w:pPr>
    </w:p>
    <w:p w:rsidR="00E04308" w:rsidRDefault="001838B0" w:rsidP="007575CA">
      <w:pPr>
        <w:pStyle w:val="ListParagraph"/>
        <w:numPr>
          <w:ilvl w:val="0"/>
          <w:numId w:val="46"/>
        </w:numPr>
      </w:pPr>
      <w:r>
        <w:t>A las instituciones locales</w:t>
      </w:r>
    </w:p>
    <w:p w:rsidR="001838B0" w:rsidRDefault="001838B0" w:rsidP="001838B0"/>
    <w:p w:rsidR="001838B0" w:rsidRDefault="001838B0" w:rsidP="001838B0">
      <w:pPr>
        <w:pStyle w:val="ListParagraph"/>
        <w:numPr>
          <w:ilvl w:val="0"/>
          <w:numId w:val="48"/>
        </w:numPr>
      </w:pPr>
      <w:r>
        <w:t>Utilizar herramientas como la escala UNAL para hacer eficientes los escasos recursos con</w:t>
      </w:r>
      <w:r w:rsidR="00B3602D">
        <w:t xml:space="preserve"> los que cuenta los Hospitales, </w:t>
      </w:r>
      <w:r>
        <w:t>así como capacitar a las instituciones de segundo y primer nivel de atención al respecto de escalas como esta que harían más ordenada y entendible las referencias de</w:t>
      </w:r>
      <w:r w:rsidR="00B3602D">
        <w:t xml:space="preserve"> casos tan importantes como la Hemorragia Digestiva alta.</w:t>
      </w:r>
    </w:p>
    <w:p w:rsidR="00E04308" w:rsidRDefault="00E04308" w:rsidP="00E77D20">
      <w:pPr>
        <w:ind w:left="0"/>
      </w:pPr>
    </w:p>
    <w:p w:rsidR="00E04308" w:rsidRPr="00A943A1" w:rsidRDefault="00E04308" w:rsidP="00E77D20">
      <w:pPr>
        <w:ind w:left="0"/>
      </w:pPr>
    </w:p>
    <w:p w:rsidR="00543D48" w:rsidRDefault="00543D48" w:rsidP="00E77D20">
      <w:pPr>
        <w:ind w:left="0"/>
        <w:rPr>
          <w:b/>
        </w:rPr>
      </w:pPr>
    </w:p>
    <w:p w:rsidR="00E77D20" w:rsidRDefault="00E77D20" w:rsidP="00E77D20">
      <w:pPr>
        <w:ind w:left="0"/>
        <w:rPr>
          <w:b/>
        </w:rPr>
      </w:pPr>
    </w:p>
    <w:p w:rsidR="00624C15" w:rsidRDefault="00624C15" w:rsidP="002410CE">
      <w:pPr>
        <w:ind w:left="0"/>
      </w:pPr>
    </w:p>
    <w:p w:rsidR="00624C15" w:rsidRDefault="00624C15" w:rsidP="002410CE">
      <w:pPr>
        <w:ind w:left="0"/>
      </w:pPr>
    </w:p>
    <w:p w:rsidR="00624C15" w:rsidRDefault="00624C15" w:rsidP="002410CE">
      <w:pPr>
        <w:ind w:left="0"/>
      </w:pPr>
    </w:p>
    <w:p w:rsidR="000F7B04" w:rsidRDefault="000F7B04" w:rsidP="002410CE">
      <w:pPr>
        <w:ind w:left="0"/>
      </w:pPr>
    </w:p>
    <w:p w:rsidR="000F7B04" w:rsidRDefault="000F7B04" w:rsidP="002410CE">
      <w:pPr>
        <w:ind w:left="0"/>
      </w:pPr>
    </w:p>
    <w:p w:rsidR="000F7B04" w:rsidRDefault="000F7B04" w:rsidP="002410CE">
      <w:pPr>
        <w:ind w:left="0"/>
      </w:pPr>
    </w:p>
    <w:p w:rsidR="000F7B04" w:rsidRDefault="000F7B04" w:rsidP="002410CE">
      <w:pPr>
        <w:ind w:left="0"/>
      </w:pPr>
    </w:p>
    <w:p w:rsidR="000F7B04" w:rsidRDefault="000F7B04" w:rsidP="002410CE">
      <w:pPr>
        <w:ind w:left="0"/>
      </w:pPr>
    </w:p>
    <w:p w:rsidR="000F7B04" w:rsidRDefault="000F7B04" w:rsidP="002410CE">
      <w:pPr>
        <w:ind w:left="0"/>
      </w:pPr>
    </w:p>
    <w:p w:rsidR="00502DD6" w:rsidRDefault="00502DD6" w:rsidP="002410CE">
      <w:pPr>
        <w:ind w:left="0"/>
      </w:pPr>
    </w:p>
    <w:p w:rsidR="00502DD6" w:rsidRDefault="00502DD6" w:rsidP="002410CE">
      <w:pPr>
        <w:ind w:left="0"/>
      </w:pPr>
    </w:p>
    <w:p w:rsidR="00502DD6" w:rsidRDefault="00502DD6" w:rsidP="002410CE">
      <w:pPr>
        <w:ind w:left="0"/>
      </w:pPr>
    </w:p>
    <w:p w:rsidR="00502DD6" w:rsidRDefault="00502DD6" w:rsidP="002410CE">
      <w:pPr>
        <w:ind w:left="0"/>
      </w:pPr>
    </w:p>
    <w:p w:rsidR="00502DD6" w:rsidRDefault="00502DD6" w:rsidP="002410CE">
      <w:pPr>
        <w:ind w:left="0"/>
      </w:pPr>
    </w:p>
    <w:p w:rsidR="00502DD6" w:rsidRDefault="00502DD6" w:rsidP="002410CE">
      <w:pPr>
        <w:ind w:left="0"/>
      </w:pPr>
    </w:p>
    <w:p w:rsidR="00502DD6" w:rsidRDefault="00502DD6" w:rsidP="002410CE">
      <w:pPr>
        <w:ind w:left="0"/>
      </w:pPr>
    </w:p>
    <w:p w:rsidR="00C7613C" w:rsidRPr="007D7E60" w:rsidRDefault="00B3602D" w:rsidP="002410CE">
      <w:pPr>
        <w:ind w:left="0"/>
        <w:jc w:val="center"/>
        <w:rPr>
          <w:lang w:val="es-SV"/>
        </w:rPr>
      </w:pPr>
      <w:r w:rsidRPr="007D7E60">
        <w:rPr>
          <w:lang w:val="es-SV"/>
        </w:rPr>
        <w:lastRenderedPageBreak/>
        <w:t>11</w:t>
      </w:r>
      <w:r w:rsidR="00A5286C" w:rsidRPr="007D7E60">
        <w:rPr>
          <w:lang w:val="es-SV"/>
        </w:rPr>
        <w:t xml:space="preserve">. </w:t>
      </w:r>
      <w:r w:rsidR="00C7613C" w:rsidRPr="007D7E60">
        <w:rPr>
          <w:lang w:val="es-SV"/>
        </w:rPr>
        <w:t>REFERENCIAS BIBLIOGR</w:t>
      </w:r>
      <w:r w:rsidR="00433FB7" w:rsidRPr="007D7E60">
        <w:rPr>
          <w:lang w:val="es-SV"/>
        </w:rPr>
        <w:t>Á</w:t>
      </w:r>
      <w:r w:rsidR="00C7613C" w:rsidRPr="007D7E60">
        <w:rPr>
          <w:lang w:val="es-SV"/>
        </w:rPr>
        <w:t>FICAS</w:t>
      </w:r>
    </w:p>
    <w:p w:rsidR="00227946" w:rsidRPr="007D7E60" w:rsidRDefault="00227946" w:rsidP="0055665C">
      <w:pPr>
        <w:ind w:left="0"/>
        <w:rPr>
          <w:lang w:val="es-SV"/>
        </w:rPr>
      </w:pPr>
    </w:p>
    <w:p w:rsidR="00467A32" w:rsidRPr="007D7E60" w:rsidRDefault="00467A32" w:rsidP="00467A32">
      <w:pPr>
        <w:autoSpaceDE w:val="0"/>
        <w:autoSpaceDN w:val="0"/>
        <w:adjustRightInd w:val="0"/>
        <w:ind w:left="0"/>
        <w:rPr>
          <w:lang w:val="en-US"/>
        </w:rPr>
      </w:pPr>
      <w:r w:rsidRPr="001444A3">
        <w:rPr>
          <w:lang w:val="en-US"/>
        </w:rPr>
        <w:t xml:space="preserve">1. </w:t>
      </w:r>
      <w:proofErr w:type="spellStart"/>
      <w:r w:rsidRPr="001444A3">
        <w:rPr>
          <w:bCs/>
          <w:lang w:val="en-US"/>
        </w:rPr>
        <w:t>Laine</w:t>
      </w:r>
      <w:proofErr w:type="spellEnd"/>
      <w:r w:rsidRPr="001444A3">
        <w:rPr>
          <w:bCs/>
          <w:lang w:val="en-US"/>
        </w:rPr>
        <w:t xml:space="preserve"> L, Peterson WL</w:t>
      </w:r>
      <w:r w:rsidRPr="001444A3">
        <w:rPr>
          <w:lang w:val="en-US"/>
        </w:rPr>
        <w:t xml:space="preserve">. </w:t>
      </w:r>
      <w:proofErr w:type="gramStart"/>
      <w:r w:rsidRPr="007D7E60">
        <w:rPr>
          <w:lang w:val="en-US"/>
        </w:rPr>
        <w:t>Bleeding peptic ulcer.</w:t>
      </w:r>
      <w:proofErr w:type="gramEnd"/>
      <w:r w:rsidRPr="007D7E60">
        <w:rPr>
          <w:lang w:val="en-US"/>
        </w:rPr>
        <w:t xml:space="preserve"> </w:t>
      </w:r>
      <w:r w:rsidRPr="007D7E60">
        <w:rPr>
          <w:i/>
          <w:iCs/>
          <w:lang w:val="en-US"/>
        </w:rPr>
        <w:t xml:space="preserve">N </w:t>
      </w:r>
      <w:proofErr w:type="spellStart"/>
      <w:r w:rsidRPr="007D7E60">
        <w:rPr>
          <w:i/>
          <w:iCs/>
          <w:lang w:val="en-US"/>
        </w:rPr>
        <w:t>Engl</w:t>
      </w:r>
      <w:proofErr w:type="spellEnd"/>
      <w:r w:rsidRPr="007D7E60">
        <w:rPr>
          <w:i/>
          <w:iCs/>
          <w:lang w:val="en-US"/>
        </w:rPr>
        <w:t xml:space="preserve"> J Med </w:t>
      </w:r>
      <w:r w:rsidRPr="007D7E60">
        <w:rPr>
          <w:lang w:val="en-US"/>
        </w:rPr>
        <w:t xml:space="preserve">1994; </w:t>
      </w:r>
      <w:r w:rsidRPr="007D7E60">
        <w:rPr>
          <w:bCs/>
          <w:lang w:val="en-US"/>
        </w:rPr>
        <w:t>331</w:t>
      </w:r>
      <w:r w:rsidRPr="007D7E60">
        <w:rPr>
          <w:lang w:val="en-US"/>
        </w:rPr>
        <w:t>: 717-27</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bCs/>
          <w:lang w:val="en-US"/>
        </w:rPr>
      </w:pPr>
      <w:r w:rsidRPr="007D7E60">
        <w:rPr>
          <w:lang w:val="en-US"/>
        </w:rPr>
        <w:t xml:space="preserve">2. </w:t>
      </w:r>
      <w:r w:rsidRPr="007D7E60">
        <w:rPr>
          <w:bCs/>
          <w:lang w:val="en-US"/>
        </w:rPr>
        <w:t xml:space="preserve">Lee JG, </w:t>
      </w:r>
      <w:proofErr w:type="spellStart"/>
      <w:r w:rsidRPr="007D7E60">
        <w:rPr>
          <w:bCs/>
          <w:lang w:val="en-US"/>
        </w:rPr>
        <w:t>Turnipseed</w:t>
      </w:r>
      <w:proofErr w:type="spellEnd"/>
      <w:r w:rsidRPr="007D7E60">
        <w:rPr>
          <w:bCs/>
          <w:lang w:val="en-US"/>
        </w:rPr>
        <w:t xml:space="preserve"> S, Romano PS, Vigil H, </w:t>
      </w:r>
      <w:proofErr w:type="spellStart"/>
      <w:r w:rsidRPr="007D7E60">
        <w:rPr>
          <w:bCs/>
          <w:lang w:val="en-US"/>
        </w:rPr>
        <w:t>Azari</w:t>
      </w:r>
      <w:proofErr w:type="spellEnd"/>
      <w:r w:rsidRPr="007D7E60">
        <w:rPr>
          <w:bCs/>
          <w:lang w:val="en-US"/>
        </w:rPr>
        <w:t xml:space="preserve"> R, </w:t>
      </w:r>
      <w:proofErr w:type="spellStart"/>
      <w:r w:rsidRPr="007D7E60">
        <w:rPr>
          <w:bCs/>
          <w:lang w:val="en-US"/>
        </w:rPr>
        <w:t>Melnikoff</w:t>
      </w:r>
      <w:proofErr w:type="spellEnd"/>
      <w:r w:rsidRPr="007D7E60">
        <w:rPr>
          <w:bCs/>
          <w:lang w:val="en-US"/>
        </w:rPr>
        <w:t xml:space="preserve"> N, et al.</w:t>
      </w:r>
    </w:p>
    <w:p w:rsidR="00467A32" w:rsidRPr="007D7E60" w:rsidRDefault="00467A32" w:rsidP="00467A32">
      <w:pPr>
        <w:autoSpaceDE w:val="0"/>
        <w:autoSpaceDN w:val="0"/>
        <w:adjustRightInd w:val="0"/>
        <w:ind w:left="0"/>
        <w:rPr>
          <w:lang w:val="en-US"/>
        </w:rPr>
      </w:pPr>
      <w:r w:rsidRPr="007D7E60">
        <w:rPr>
          <w:lang w:val="en-US"/>
        </w:rPr>
        <w:t xml:space="preserve">Endoscopy-based triage significantly reduces hospitalization rates and costs oftreating upper GI bleeding: a randomized controlled trial. </w:t>
      </w:r>
      <w:r w:rsidRPr="007D7E60">
        <w:rPr>
          <w:i/>
          <w:iCs/>
          <w:lang w:val="en-US"/>
        </w:rPr>
        <w:t>GastrointestEndosc</w:t>
      </w:r>
      <w:r w:rsidRPr="007D7E60">
        <w:rPr>
          <w:lang w:val="en-US"/>
        </w:rPr>
        <w:t xml:space="preserve">1999; </w:t>
      </w:r>
      <w:r w:rsidRPr="007D7E60">
        <w:rPr>
          <w:bCs/>
          <w:lang w:val="en-US"/>
        </w:rPr>
        <w:t>50</w:t>
      </w:r>
      <w:r w:rsidRPr="007D7E60">
        <w:rPr>
          <w:lang w:val="en-US"/>
        </w:rPr>
        <w:t>: 755-61</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3. </w:t>
      </w:r>
      <w:proofErr w:type="spellStart"/>
      <w:r w:rsidRPr="007D7E60">
        <w:rPr>
          <w:bCs/>
          <w:lang w:val="en-US"/>
        </w:rPr>
        <w:t>Longstreth</w:t>
      </w:r>
      <w:proofErr w:type="spellEnd"/>
      <w:r w:rsidRPr="007D7E60">
        <w:rPr>
          <w:bCs/>
          <w:lang w:val="en-US"/>
        </w:rPr>
        <w:t xml:space="preserve"> GF, </w:t>
      </w:r>
      <w:proofErr w:type="spellStart"/>
      <w:r w:rsidRPr="007D7E60">
        <w:rPr>
          <w:bCs/>
          <w:lang w:val="en-US"/>
        </w:rPr>
        <w:t>Feitelberg</w:t>
      </w:r>
      <w:proofErr w:type="spellEnd"/>
      <w:r w:rsidRPr="007D7E60">
        <w:rPr>
          <w:bCs/>
          <w:lang w:val="en-US"/>
        </w:rPr>
        <w:t xml:space="preserve"> SP. </w:t>
      </w:r>
      <w:r w:rsidRPr="007D7E60">
        <w:rPr>
          <w:lang w:val="en-US"/>
        </w:rPr>
        <w:t xml:space="preserve">Successful outpatient management of acuteupper gastrointestinal hemorrhage: use of practice guidelines in a large patientseries. </w:t>
      </w:r>
      <w:r w:rsidRPr="007D7E60">
        <w:rPr>
          <w:i/>
          <w:iCs/>
          <w:lang w:val="en-US"/>
        </w:rPr>
        <w:t>GastrointestEndosc</w:t>
      </w:r>
      <w:r w:rsidRPr="007D7E60">
        <w:rPr>
          <w:lang w:val="en-US"/>
        </w:rPr>
        <w:t xml:space="preserve">1998; </w:t>
      </w:r>
      <w:r w:rsidRPr="007D7E60">
        <w:rPr>
          <w:bCs/>
          <w:lang w:val="en-US"/>
        </w:rPr>
        <w:t>47</w:t>
      </w:r>
      <w:r w:rsidRPr="007D7E60">
        <w:rPr>
          <w:lang w:val="en-US"/>
        </w:rPr>
        <w:t>: 219-21</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4. </w:t>
      </w:r>
      <w:proofErr w:type="spellStart"/>
      <w:r w:rsidRPr="007D7E60">
        <w:rPr>
          <w:bCs/>
          <w:lang w:val="en-US"/>
        </w:rPr>
        <w:t>Pimpl</w:t>
      </w:r>
      <w:proofErr w:type="spellEnd"/>
      <w:r w:rsidRPr="007D7E60">
        <w:rPr>
          <w:bCs/>
          <w:lang w:val="en-US"/>
        </w:rPr>
        <w:t xml:space="preserve"> W, </w:t>
      </w:r>
      <w:proofErr w:type="spellStart"/>
      <w:r w:rsidRPr="007D7E60">
        <w:rPr>
          <w:bCs/>
          <w:lang w:val="en-US"/>
        </w:rPr>
        <w:t>Boeckl</w:t>
      </w:r>
      <w:proofErr w:type="spellEnd"/>
      <w:r w:rsidRPr="007D7E60">
        <w:rPr>
          <w:bCs/>
          <w:lang w:val="en-US"/>
        </w:rPr>
        <w:t xml:space="preserve"> O, </w:t>
      </w:r>
      <w:proofErr w:type="spellStart"/>
      <w:r w:rsidRPr="007D7E60">
        <w:rPr>
          <w:bCs/>
          <w:lang w:val="en-US"/>
        </w:rPr>
        <w:t>Waclawiczek</w:t>
      </w:r>
      <w:proofErr w:type="spellEnd"/>
      <w:r w:rsidRPr="007D7E60">
        <w:rPr>
          <w:bCs/>
          <w:lang w:val="en-US"/>
        </w:rPr>
        <w:t xml:space="preserve"> HW, </w:t>
      </w:r>
      <w:proofErr w:type="spellStart"/>
      <w:r w:rsidRPr="007D7E60">
        <w:rPr>
          <w:bCs/>
          <w:lang w:val="en-US"/>
        </w:rPr>
        <w:t>Heinerman</w:t>
      </w:r>
      <w:proofErr w:type="spellEnd"/>
      <w:r w:rsidRPr="007D7E60">
        <w:rPr>
          <w:bCs/>
          <w:lang w:val="en-US"/>
        </w:rPr>
        <w:t xml:space="preserve"> M</w:t>
      </w:r>
      <w:r w:rsidRPr="007D7E60">
        <w:rPr>
          <w:lang w:val="en-US"/>
        </w:rPr>
        <w:t xml:space="preserve">. Estimation of themortality rate of patients with severe </w:t>
      </w:r>
      <w:proofErr w:type="spellStart"/>
      <w:r w:rsidRPr="007D7E60">
        <w:rPr>
          <w:lang w:val="en-US"/>
        </w:rPr>
        <w:t>gastroduodenal</w:t>
      </w:r>
      <w:proofErr w:type="spellEnd"/>
      <w:r w:rsidRPr="007D7E60">
        <w:rPr>
          <w:lang w:val="en-US"/>
        </w:rPr>
        <w:t xml:space="preserve"> hemorrhage with the aid ofa new scoring system. </w:t>
      </w:r>
      <w:r w:rsidRPr="007D7E60">
        <w:rPr>
          <w:i/>
          <w:iCs/>
          <w:lang w:val="en-US"/>
        </w:rPr>
        <w:t xml:space="preserve">Endoscopy </w:t>
      </w:r>
      <w:r w:rsidRPr="007D7E60">
        <w:rPr>
          <w:lang w:val="en-US"/>
        </w:rPr>
        <w:t xml:space="preserve">1987; </w:t>
      </w:r>
      <w:r w:rsidRPr="007D7E60">
        <w:rPr>
          <w:bCs/>
          <w:lang w:val="en-US"/>
        </w:rPr>
        <w:t>19</w:t>
      </w:r>
      <w:r w:rsidRPr="007D7E60">
        <w:rPr>
          <w:lang w:val="en-US"/>
        </w:rPr>
        <w:t>: 101-6</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5. </w:t>
      </w:r>
      <w:proofErr w:type="spellStart"/>
      <w:r w:rsidRPr="007D7E60">
        <w:rPr>
          <w:bCs/>
          <w:lang w:val="en-US"/>
        </w:rPr>
        <w:t>Bordley</w:t>
      </w:r>
      <w:proofErr w:type="spellEnd"/>
      <w:r w:rsidRPr="007D7E60">
        <w:rPr>
          <w:bCs/>
          <w:lang w:val="en-US"/>
        </w:rPr>
        <w:t xml:space="preserve"> DR, </w:t>
      </w:r>
      <w:proofErr w:type="spellStart"/>
      <w:r w:rsidRPr="007D7E60">
        <w:rPr>
          <w:bCs/>
          <w:lang w:val="en-US"/>
        </w:rPr>
        <w:t>Mushlin</w:t>
      </w:r>
      <w:proofErr w:type="spellEnd"/>
      <w:r w:rsidRPr="007D7E60">
        <w:rPr>
          <w:bCs/>
          <w:lang w:val="en-US"/>
        </w:rPr>
        <w:t xml:space="preserve"> AI, Dolan JG, Richardson WS, Barry M, Polio J, et al.</w:t>
      </w:r>
      <w:r w:rsidRPr="007D7E60">
        <w:rPr>
          <w:lang w:val="en-US"/>
        </w:rPr>
        <w:t xml:space="preserve">Early clinical signs identify low-risk patients with acute upper gastrointestinalhemorrhage. </w:t>
      </w:r>
      <w:r w:rsidRPr="007D7E60">
        <w:rPr>
          <w:i/>
          <w:iCs/>
          <w:lang w:val="en-US"/>
        </w:rPr>
        <w:t xml:space="preserve">JAMA </w:t>
      </w:r>
      <w:r w:rsidRPr="007D7E60">
        <w:rPr>
          <w:lang w:val="en-US"/>
        </w:rPr>
        <w:t xml:space="preserve">1985; </w:t>
      </w:r>
      <w:r w:rsidRPr="007D7E60">
        <w:rPr>
          <w:bCs/>
          <w:lang w:val="en-US"/>
        </w:rPr>
        <w:t>253</w:t>
      </w:r>
      <w:r w:rsidRPr="007D7E60">
        <w:rPr>
          <w:lang w:val="en-US"/>
        </w:rPr>
        <w:t>: 3282-5</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6. </w:t>
      </w:r>
      <w:r w:rsidRPr="007D7E60">
        <w:rPr>
          <w:bCs/>
          <w:lang w:val="en-US"/>
        </w:rPr>
        <w:t xml:space="preserve">Corley DA, Stefan AM, Wolf M, Cook EF, Lee TH. </w:t>
      </w:r>
      <w:proofErr w:type="gramStart"/>
      <w:r w:rsidRPr="007D7E60">
        <w:rPr>
          <w:lang w:val="en-US"/>
        </w:rPr>
        <w:t>Early indicators ofprognosis in upper gastrointestinal hemorrhage.</w:t>
      </w:r>
      <w:proofErr w:type="gramEnd"/>
      <w:r w:rsidRPr="007D7E60">
        <w:rPr>
          <w:lang w:val="en-US"/>
        </w:rPr>
        <w:t xml:space="preserve"> </w:t>
      </w:r>
      <w:r w:rsidRPr="007D7E60">
        <w:rPr>
          <w:i/>
          <w:iCs/>
          <w:lang w:val="en-US"/>
        </w:rPr>
        <w:t>Am J Gastroenterol</w:t>
      </w:r>
      <w:r w:rsidRPr="007D7E60">
        <w:rPr>
          <w:lang w:val="en-US"/>
        </w:rPr>
        <w:t xml:space="preserve">1998; </w:t>
      </w:r>
      <w:r w:rsidRPr="007D7E60">
        <w:rPr>
          <w:bCs/>
          <w:lang w:val="en-US"/>
        </w:rPr>
        <w:t>93</w:t>
      </w:r>
      <w:r w:rsidRPr="007D7E60">
        <w:rPr>
          <w:lang w:val="en-US"/>
        </w:rPr>
        <w:t>:336-40</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7. </w:t>
      </w:r>
      <w:proofErr w:type="spellStart"/>
      <w:r w:rsidRPr="007D7E60">
        <w:rPr>
          <w:bCs/>
          <w:lang w:val="en-US"/>
        </w:rPr>
        <w:t>Rockall</w:t>
      </w:r>
      <w:proofErr w:type="spellEnd"/>
      <w:r w:rsidRPr="007D7E60">
        <w:rPr>
          <w:bCs/>
          <w:lang w:val="en-US"/>
        </w:rPr>
        <w:t xml:space="preserve"> TA, Logan RF, Devlin HB, Northfield TC. </w:t>
      </w:r>
      <w:r w:rsidRPr="007D7E60">
        <w:rPr>
          <w:lang w:val="en-US"/>
        </w:rPr>
        <w:t>Risk assessment after</w:t>
      </w:r>
    </w:p>
    <w:p w:rsidR="00467A32" w:rsidRPr="007D7E60" w:rsidRDefault="00467A32" w:rsidP="00467A32">
      <w:pPr>
        <w:autoSpaceDE w:val="0"/>
        <w:autoSpaceDN w:val="0"/>
        <w:adjustRightInd w:val="0"/>
        <w:ind w:left="0"/>
        <w:rPr>
          <w:lang w:val="en-US"/>
        </w:rPr>
      </w:pPr>
      <w:proofErr w:type="gramStart"/>
      <w:r w:rsidRPr="007D7E60">
        <w:rPr>
          <w:lang w:val="en-US"/>
        </w:rPr>
        <w:t>acute</w:t>
      </w:r>
      <w:proofErr w:type="gramEnd"/>
      <w:r w:rsidRPr="007D7E60">
        <w:rPr>
          <w:lang w:val="en-US"/>
        </w:rPr>
        <w:t xml:space="preserve"> upper gastrointestinal </w:t>
      </w:r>
      <w:proofErr w:type="spellStart"/>
      <w:r w:rsidRPr="007D7E60">
        <w:rPr>
          <w:lang w:val="en-US"/>
        </w:rPr>
        <w:t>haemorrhage</w:t>
      </w:r>
      <w:proofErr w:type="spellEnd"/>
      <w:r w:rsidRPr="007D7E60">
        <w:rPr>
          <w:lang w:val="en-US"/>
        </w:rPr>
        <w:t xml:space="preserve">. </w:t>
      </w:r>
      <w:r w:rsidRPr="007D7E60">
        <w:rPr>
          <w:i/>
          <w:iCs/>
          <w:lang w:val="en-US"/>
        </w:rPr>
        <w:t xml:space="preserve">Gut </w:t>
      </w:r>
      <w:r w:rsidRPr="007D7E60">
        <w:rPr>
          <w:lang w:val="en-US"/>
        </w:rPr>
        <w:t xml:space="preserve">1996; </w:t>
      </w:r>
      <w:r w:rsidRPr="007D7E60">
        <w:rPr>
          <w:bCs/>
          <w:lang w:val="en-US"/>
        </w:rPr>
        <w:t>38</w:t>
      </w:r>
      <w:r w:rsidRPr="007D7E60">
        <w:rPr>
          <w:lang w:val="en-US"/>
        </w:rPr>
        <w:t>: 316-21</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proofErr w:type="gramStart"/>
      <w:r w:rsidRPr="007D7E60">
        <w:rPr>
          <w:lang w:val="en-US"/>
        </w:rPr>
        <w:t xml:space="preserve">8. </w:t>
      </w:r>
      <w:proofErr w:type="spellStart"/>
      <w:r w:rsidRPr="007D7E60">
        <w:rPr>
          <w:bCs/>
          <w:lang w:val="en-US"/>
        </w:rPr>
        <w:t>Saeed</w:t>
      </w:r>
      <w:proofErr w:type="spellEnd"/>
      <w:r w:rsidRPr="007D7E60">
        <w:rPr>
          <w:bCs/>
          <w:lang w:val="en-US"/>
        </w:rPr>
        <w:t xml:space="preserve"> ZA, Winchester CB, </w:t>
      </w:r>
      <w:proofErr w:type="spellStart"/>
      <w:r w:rsidRPr="007D7E60">
        <w:rPr>
          <w:bCs/>
          <w:lang w:val="en-US"/>
        </w:rPr>
        <w:t>Michaletz</w:t>
      </w:r>
      <w:proofErr w:type="spellEnd"/>
      <w:r w:rsidRPr="007D7E60">
        <w:rPr>
          <w:bCs/>
          <w:lang w:val="en-US"/>
        </w:rPr>
        <w:t xml:space="preserve"> PA, Woods KL, Graham DY.</w:t>
      </w:r>
      <w:proofErr w:type="gramEnd"/>
      <w:r w:rsidRPr="007D7E60">
        <w:rPr>
          <w:bCs/>
          <w:lang w:val="en-US"/>
        </w:rPr>
        <w:t xml:space="preserve"> </w:t>
      </w:r>
      <w:r w:rsidRPr="007D7E60">
        <w:rPr>
          <w:lang w:val="en-US"/>
        </w:rPr>
        <w:t>A</w:t>
      </w:r>
    </w:p>
    <w:p w:rsidR="00467A32" w:rsidRPr="007D7E60" w:rsidRDefault="00467A32" w:rsidP="00467A32">
      <w:pPr>
        <w:autoSpaceDE w:val="0"/>
        <w:autoSpaceDN w:val="0"/>
        <w:adjustRightInd w:val="0"/>
        <w:ind w:left="0"/>
        <w:rPr>
          <w:lang w:val="en-US"/>
        </w:rPr>
      </w:pPr>
      <w:proofErr w:type="gramStart"/>
      <w:r w:rsidRPr="007D7E60">
        <w:rPr>
          <w:lang w:val="en-US"/>
        </w:rPr>
        <w:t>scoring</w:t>
      </w:r>
      <w:proofErr w:type="gramEnd"/>
      <w:r w:rsidRPr="007D7E60">
        <w:rPr>
          <w:lang w:val="en-US"/>
        </w:rPr>
        <w:t xml:space="preserve"> system to predict </w:t>
      </w:r>
      <w:proofErr w:type="spellStart"/>
      <w:r w:rsidRPr="007D7E60">
        <w:rPr>
          <w:lang w:val="en-US"/>
        </w:rPr>
        <w:t>rebleeding</w:t>
      </w:r>
      <w:proofErr w:type="spellEnd"/>
      <w:r w:rsidRPr="007D7E60">
        <w:rPr>
          <w:lang w:val="en-US"/>
        </w:rPr>
        <w:t xml:space="preserve"> after endoscopic therapy of </w:t>
      </w:r>
      <w:proofErr w:type="spellStart"/>
      <w:r w:rsidRPr="007D7E60">
        <w:rPr>
          <w:lang w:val="en-US"/>
        </w:rPr>
        <w:t>nonvariceal</w:t>
      </w:r>
      <w:proofErr w:type="spellEnd"/>
    </w:p>
    <w:p w:rsidR="00467A32" w:rsidRPr="007D7E60" w:rsidRDefault="00467A32" w:rsidP="00467A32">
      <w:pPr>
        <w:autoSpaceDE w:val="0"/>
        <w:autoSpaceDN w:val="0"/>
        <w:adjustRightInd w:val="0"/>
        <w:ind w:left="0"/>
        <w:rPr>
          <w:lang w:val="en-US"/>
        </w:rPr>
      </w:pPr>
      <w:proofErr w:type="gramStart"/>
      <w:r w:rsidRPr="007D7E60">
        <w:rPr>
          <w:lang w:val="en-US"/>
        </w:rPr>
        <w:t>upper</w:t>
      </w:r>
      <w:proofErr w:type="gramEnd"/>
      <w:r w:rsidRPr="007D7E60">
        <w:rPr>
          <w:lang w:val="en-US"/>
        </w:rPr>
        <w:t xml:space="preserve"> gastrointestinal hemorrhage, with a comparison of heat probe and ethanolinjection. </w:t>
      </w:r>
      <w:r w:rsidRPr="007D7E60">
        <w:rPr>
          <w:i/>
          <w:iCs/>
          <w:lang w:val="en-US"/>
        </w:rPr>
        <w:t>Am J Gastroenterol</w:t>
      </w:r>
      <w:r w:rsidRPr="007D7E60">
        <w:rPr>
          <w:lang w:val="en-US"/>
        </w:rPr>
        <w:t xml:space="preserve">1993; </w:t>
      </w:r>
      <w:r w:rsidRPr="007D7E60">
        <w:rPr>
          <w:bCs/>
          <w:lang w:val="en-US"/>
        </w:rPr>
        <w:t>88</w:t>
      </w:r>
      <w:r w:rsidRPr="007D7E60">
        <w:rPr>
          <w:lang w:val="en-US"/>
        </w:rPr>
        <w:t>: 1842-9</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9. </w:t>
      </w:r>
      <w:r w:rsidRPr="007D7E60">
        <w:rPr>
          <w:bCs/>
          <w:lang w:val="en-US"/>
        </w:rPr>
        <w:t xml:space="preserve">Hay JA, </w:t>
      </w:r>
      <w:proofErr w:type="spellStart"/>
      <w:r w:rsidRPr="007D7E60">
        <w:rPr>
          <w:bCs/>
          <w:lang w:val="en-US"/>
        </w:rPr>
        <w:t>Lyubashevsky</w:t>
      </w:r>
      <w:proofErr w:type="spellEnd"/>
      <w:r w:rsidRPr="007D7E60">
        <w:rPr>
          <w:bCs/>
          <w:lang w:val="en-US"/>
        </w:rPr>
        <w:t xml:space="preserve"> E, </w:t>
      </w:r>
      <w:proofErr w:type="spellStart"/>
      <w:r w:rsidRPr="007D7E60">
        <w:rPr>
          <w:bCs/>
          <w:lang w:val="en-US"/>
        </w:rPr>
        <w:t>Elashoff</w:t>
      </w:r>
      <w:proofErr w:type="spellEnd"/>
      <w:r w:rsidRPr="007D7E60">
        <w:rPr>
          <w:bCs/>
          <w:lang w:val="en-US"/>
        </w:rPr>
        <w:t xml:space="preserve"> J, Maldonado L, Weingarten SR, </w:t>
      </w:r>
      <w:proofErr w:type="spellStart"/>
      <w:r w:rsidRPr="007D7E60">
        <w:rPr>
          <w:bCs/>
          <w:lang w:val="en-US"/>
        </w:rPr>
        <w:t>Ellrodt</w:t>
      </w:r>
      <w:proofErr w:type="spellEnd"/>
      <w:r w:rsidRPr="007D7E60">
        <w:rPr>
          <w:bCs/>
          <w:lang w:val="en-US"/>
        </w:rPr>
        <w:t xml:space="preserve"> AG. </w:t>
      </w:r>
      <w:r w:rsidRPr="007D7E60">
        <w:rPr>
          <w:lang w:val="en-US"/>
        </w:rPr>
        <w:t xml:space="preserve">Upper gastrointestinal hemorrhage clinical guideline: determining the optimalhospital length of stay. </w:t>
      </w:r>
      <w:proofErr w:type="gramStart"/>
      <w:r w:rsidRPr="007D7E60">
        <w:rPr>
          <w:i/>
          <w:iCs/>
          <w:lang w:val="en-US"/>
        </w:rPr>
        <w:t>Am</w:t>
      </w:r>
      <w:proofErr w:type="gramEnd"/>
      <w:r w:rsidRPr="007D7E60">
        <w:rPr>
          <w:i/>
          <w:iCs/>
          <w:lang w:val="en-US"/>
        </w:rPr>
        <w:t xml:space="preserve"> J Med </w:t>
      </w:r>
      <w:r w:rsidRPr="007D7E60">
        <w:rPr>
          <w:lang w:val="en-US"/>
        </w:rPr>
        <w:t xml:space="preserve">1996; </w:t>
      </w:r>
      <w:r w:rsidRPr="007D7E60">
        <w:rPr>
          <w:bCs/>
          <w:lang w:val="en-US"/>
        </w:rPr>
        <w:t>100</w:t>
      </w:r>
      <w:r w:rsidRPr="007D7E60">
        <w:rPr>
          <w:lang w:val="en-US"/>
        </w:rPr>
        <w:t>: 313-22</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10. </w:t>
      </w:r>
      <w:r w:rsidRPr="007D7E60">
        <w:rPr>
          <w:bCs/>
          <w:lang w:val="en-US"/>
        </w:rPr>
        <w:t xml:space="preserve">Blatchford O, Murray WR, Blatchford MA. </w:t>
      </w:r>
      <w:r w:rsidRPr="007D7E60">
        <w:rPr>
          <w:lang w:val="en-US"/>
        </w:rPr>
        <w:t xml:space="preserve">A risk score to predict need </w:t>
      </w:r>
      <w:proofErr w:type="spellStart"/>
      <w:r w:rsidRPr="007D7E60">
        <w:rPr>
          <w:lang w:val="en-US"/>
        </w:rPr>
        <w:t>fortreatment</w:t>
      </w:r>
      <w:proofErr w:type="spellEnd"/>
      <w:r w:rsidRPr="007D7E60">
        <w:rPr>
          <w:lang w:val="en-US"/>
        </w:rPr>
        <w:t xml:space="preserve"> for upper-gastrointestinal </w:t>
      </w:r>
      <w:proofErr w:type="spellStart"/>
      <w:r w:rsidRPr="007D7E60">
        <w:rPr>
          <w:lang w:val="en-US"/>
        </w:rPr>
        <w:t>haemorrhage</w:t>
      </w:r>
      <w:proofErr w:type="spellEnd"/>
      <w:r w:rsidRPr="007D7E60">
        <w:rPr>
          <w:lang w:val="en-US"/>
        </w:rPr>
        <w:t xml:space="preserve">. </w:t>
      </w:r>
      <w:r w:rsidRPr="007D7E60">
        <w:rPr>
          <w:i/>
          <w:iCs/>
          <w:lang w:val="en-US"/>
        </w:rPr>
        <w:t xml:space="preserve">Lancet </w:t>
      </w:r>
      <w:r w:rsidRPr="007D7E60">
        <w:rPr>
          <w:lang w:val="en-US"/>
        </w:rPr>
        <w:t xml:space="preserve">2000; </w:t>
      </w:r>
      <w:r w:rsidRPr="007D7E60">
        <w:rPr>
          <w:bCs/>
          <w:lang w:val="en-US"/>
        </w:rPr>
        <w:t>356</w:t>
      </w:r>
      <w:r w:rsidRPr="007D7E60">
        <w:rPr>
          <w:lang w:val="en-US"/>
        </w:rPr>
        <w:t>: 1318-21</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t xml:space="preserve">11. </w:t>
      </w:r>
      <w:proofErr w:type="spellStart"/>
      <w:r w:rsidRPr="007D7E60">
        <w:rPr>
          <w:bCs/>
          <w:lang w:val="en-US"/>
        </w:rPr>
        <w:t>Kollef</w:t>
      </w:r>
      <w:proofErr w:type="spellEnd"/>
      <w:r w:rsidRPr="007D7E60">
        <w:rPr>
          <w:bCs/>
          <w:lang w:val="en-US"/>
        </w:rPr>
        <w:t xml:space="preserve"> MH, Canfield DA, Zuckerman GR. </w:t>
      </w:r>
      <w:r w:rsidRPr="007D7E60">
        <w:rPr>
          <w:lang w:val="en-US"/>
        </w:rPr>
        <w:t xml:space="preserve">Triage considerations for patientswith acute gastrointestinal hemorrhage admitted to a medical intensive care </w:t>
      </w:r>
      <w:proofErr w:type="spellStart"/>
      <w:r w:rsidRPr="007D7E60">
        <w:rPr>
          <w:lang w:val="en-US"/>
        </w:rPr>
        <w:t>unit.</w:t>
      </w:r>
      <w:r w:rsidRPr="007D7E60">
        <w:rPr>
          <w:i/>
          <w:iCs/>
          <w:lang w:val="en-US"/>
        </w:rPr>
        <w:t>Crit</w:t>
      </w:r>
      <w:proofErr w:type="spellEnd"/>
      <w:r w:rsidRPr="007D7E60">
        <w:rPr>
          <w:i/>
          <w:iCs/>
          <w:lang w:val="en-US"/>
        </w:rPr>
        <w:t xml:space="preserve"> Care Med </w:t>
      </w:r>
      <w:r w:rsidRPr="007D7E60">
        <w:rPr>
          <w:lang w:val="en-US"/>
        </w:rPr>
        <w:t xml:space="preserve">1995; </w:t>
      </w:r>
      <w:r w:rsidRPr="007D7E60">
        <w:rPr>
          <w:bCs/>
          <w:lang w:val="en-US"/>
        </w:rPr>
        <w:t>23</w:t>
      </w:r>
      <w:r w:rsidRPr="007D7E60">
        <w:rPr>
          <w:lang w:val="en-US"/>
        </w:rPr>
        <w:t>: 1048-54</w:t>
      </w:r>
    </w:p>
    <w:p w:rsidR="000F7B04" w:rsidRPr="007D7E60" w:rsidRDefault="000F7B04" w:rsidP="00467A32">
      <w:pPr>
        <w:autoSpaceDE w:val="0"/>
        <w:autoSpaceDN w:val="0"/>
        <w:adjustRightInd w:val="0"/>
        <w:ind w:left="0"/>
        <w:rPr>
          <w:lang w:val="en-US"/>
        </w:rPr>
      </w:pPr>
    </w:p>
    <w:p w:rsidR="00467A32" w:rsidRPr="007D7E60" w:rsidRDefault="00467A32" w:rsidP="00467A32">
      <w:pPr>
        <w:autoSpaceDE w:val="0"/>
        <w:autoSpaceDN w:val="0"/>
        <w:adjustRightInd w:val="0"/>
        <w:ind w:left="0"/>
        <w:rPr>
          <w:lang w:val="en-US"/>
        </w:rPr>
      </w:pPr>
      <w:r w:rsidRPr="007D7E60">
        <w:rPr>
          <w:lang w:val="en-US"/>
        </w:rPr>
        <w:lastRenderedPageBreak/>
        <w:t xml:space="preserve">12. </w:t>
      </w:r>
      <w:proofErr w:type="spellStart"/>
      <w:r w:rsidRPr="007D7E60">
        <w:rPr>
          <w:bCs/>
          <w:lang w:val="en-US"/>
        </w:rPr>
        <w:t>Kollef</w:t>
      </w:r>
      <w:proofErr w:type="spellEnd"/>
      <w:r w:rsidRPr="007D7E60">
        <w:rPr>
          <w:bCs/>
          <w:lang w:val="en-US"/>
        </w:rPr>
        <w:t xml:space="preserve"> MH, O </w:t>
      </w:r>
      <w:proofErr w:type="spellStart"/>
      <w:r w:rsidRPr="007D7E60">
        <w:rPr>
          <w:bCs/>
          <w:lang w:val="en-US"/>
        </w:rPr>
        <w:t>rquote</w:t>
      </w:r>
      <w:proofErr w:type="spellEnd"/>
      <w:r w:rsidRPr="007D7E60">
        <w:rPr>
          <w:bCs/>
          <w:lang w:val="en-US"/>
        </w:rPr>
        <w:t xml:space="preserve"> Brien JD, Zuckerman GR, Shannon W. </w:t>
      </w:r>
      <w:r w:rsidRPr="007D7E60">
        <w:rPr>
          <w:lang w:val="en-US"/>
        </w:rPr>
        <w:t>BLEED: a</w:t>
      </w:r>
    </w:p>
    <w:p w:rsidR="00467A32" w:rsidRPr="007D7E60" w:rsidRDefault="00467A32" w:rsidP="00467A32">
      <w:pPr>
        <w:autoSpaceDE w:val="0"/>
        <w:autoSpaceDN w:val="0"/>
        <w:adjustRightInd w:val="0"/>
        <w:ind w:left="0"/>
        <w:rPr>
          <w:lang w:val="en-US"/>
        </w:rPr>
      </w:pPr>
      <w:proofErr w:type="gramStart"/>
      <w:r w:rsidRPr="007D7E60">
        <w:rPr>
          <w:lang w:val="en-US"/>
        </w:rPr>
        <w:t>classification</w:t>
      </w:r>
      <w:proofErr w:type="gramEnd"/>
      <w:r w:rsidRPr="007D7E60">
        <w:rPr>
          <w:lang w:val="en-US"/>
        </w:rPr>
        <w:t xml:space="preserve"> tool to predict outcomes in patients with acute upper and lower</w:t>
      </w:r>
    </w:p>
    <w:p w:rsidR="000071D8" w:rsidRPr="007D7E60" w:rsidRDefault="00467A32" w:rsidP="00467A32">
      <w:pPr>
        <w:ind w:left="0"/>
        <w:rPr>
          <w:lang w:val="en-US"/>
        </w:rPr>
      </w:pPr>
      <w:proofErr w:type="gramStart"/>
      <w:r w:rsidRPr="007D7E60">
        <w:rPr>
          <w:lang w:val="en-US"/>
        </w:rPr>
        <w:t>gastrointestinal</w:t>
      </w:r>
      <w:proofErr w:type="gramEnd"/>
      <w:r w:rsidRPr="007D7E60">
        <w:rPr>
          <w:lang w:val="en-US"/>
        </w:rPr>
        <w:t xml:space="preserve"> hemorrhage. </w:t>
      </w:r>
      <w:proofErr w:type="spellStart"/>
      <w:r w:rsidRPr="007D7E60">
        <w:rPr>
          <w:i/>
          <w:iCs/>
          <w:lang w:val="en-US"/>
        </w:rPr>
        <w:t>Crit</w:t>
      </w:r>
      <w:proofErr w:type="spellEnd"/>
      <w:r w:rsidRPr="007D7E60">
        <w:rPr>
          <w:i/>
          <w:iCs/>
          <w:lang w:val="en-US"/>
        </w:rPr>
        <w:t xml:space="preserve"> Care Med </w:t>
      </w:r>
      <w:r w:rsidRPr="007D7E60">
        <w:rPr>
          <w:lang w:val="en-US"/>
        </w:rPr>
        <w:t xml:space="preserve">1997; </w:t>
      </w:r>
      <w:r w:rsidRPr="007D7E60">
        <w:rPr>
          <w:bCs/>
          <w:lang w:val="en-US"/>
        </w:rPr>
        <w:t>25</w:t>
      </w:r>
      <w:r w:rsidRPr="007D7E60">
        <w:rPr>
          <w:lang w:val="en-US"/>
        </w:rPr>
        <w:t>: 1125-32</w:t>
      </w:r>
    </w:p>
    <w:p w:rsidR="000F7B04" w:rsidRPr="007D7E60" w:rsidRDefault="000F7B04" w:rsidP="00467A32">
      <w:pPr>
        <w:autoSpaceDE w:val="0"/>
        <w:autoSpaceDN w:val="0"/>
        <w:adjustRightInd w:val="0"/>
        <w:ind w:left="0"/>
        <w:rPr>
          <w:bCs/>
          <w:lang w:val="en-US"/>
        </w:rPr>
      </w:pPr>
    </w:p>
    <w:p w:rsidR="00467A32" w:rsidRPr="007D7E60" w:rsidRDefault="00467A32" w:rsidP="00467A32">
      <w:pPr>
        <w:autoSpaceDE w:val="0"/>
        <w:autoSpaceDN w:val="0"/>
        <w:adjustRightInd w:val="0"/>
        <w:ind w:left="0"/>
        <w:rPr>
          <w:lang w:val="en-US"/>
        </w:rPr>
      </w:pPr>
      <w:r w:rsidRPr="007D7E60">
        <w:rPr>
          <w:bCs/>
          <w:lang w:val="en-US"/>
        </w:rPr>
        <w:t>1</w:t>
      </w:r>
      <w:r w:rsidR="00AB0DD0" w:rsidRPr="007D7E60">
        <w:rPr>
          <w:bCs/>
          <w:lang w:val="en-US"/>
        </w:rPr>
        <w:t>3</w:t>
      </w:r>
      <w:r w:rsidRPr="007D7E60">
        <w:rPr>
          <w:bCs/>
          <w:lang w:val="en-US"/>
        </w:rPr>
        <w:t xml:space="preserve">. Cameron EA, </w:t>
      </w:r>
      <w:proofErr w:type="spellStart"/>
      <w:r w:rsidRPr="007D7E60">
        <w:rPr>
          <w:bCs/>
          <w:lang w:val="en-US"/>
        </w:rPr>
        <w:t>Pratap</w:t>
      </w:r>
      <w:proofErr w:type="spellEnd"/>
      <w:r w:rsidRPr="007D7E60">
        <w:rPr>
          <w:bCs/>
          <w:lang w:val="en-US"/>
        </w:rPr>
        <w:t xml:space="preserve"> JN, Sims TJ, Inman S, Boyd D, Ward M, et al. </w:t>
      </w:r>
      <w:proofErr w:type="spellStart"/>
      <w:r w:rsidRPr="007D7E60">
        <w:rPr>
          <w:lang w:val="en-US"/>
        </w:rPr>
        <w:t>Threeyearprospective</w:t>
      </w:r>
      <w:proofErr w:type="spellEnd"/>
      <w:r w:rsidRPr="007D7E60">
        <w:rPr>
          <w:lang w:val="en-US"/>
        </w:rPr>
        <w:t xml:space="preserve"> validation of a pre-endoscopic risk stratification in patients </w:t>
      </w:r>
      <w:proofErr w:type="spellStart"/>
      <w:r w:rsidRPr="007D7E60">
        <w:rPr>
          <w:lang w:val="en-US"/>
        </w:rPr>
        <w:t>withacute</w:t>
      </w:r>
      <w:proofErr w:type="spellEnd"/>
      <w:r w:rsidRPr="007D7E60">
        <w:rPr>
          <w:lang w:val="en-US"/>
        </w:rPr>
        <w:t xml:space="preserve"> upper-gastrointestinal </w:t>
      </w:r>
      <w:proofErr w:type="spellStart"/>
      <w:r w:rsidRPr="007D7E60">
        <w:rPr>
          <w:lang w:val="en-US"/>
        </w:rPr>
        <w:t>haemorrhage</w:t>
      </w:r>
      <w:proofErr w:type="spellEnd"/>
      <w:r w:rsidRPr="007D7E60">
        <w:rPr>
          <w:lang w:val="en-US"/>
        </w:rPr>
        <w:t xml:space="preserve">. </w:t>
      </w:r>
      <w:proofErr w:type="spellStart"/>
      <w:r w:rsidRPr="007D7E60">
        <w:rPr>
          <w:i/>
          <w:iCs/>
          <w:lang w:val="en-US"/>
        </w:rPr>
        <w:t>Eur</w:t>
      </w:r>
      <w:proofErr w:type="spellEnd"/>
      <w:r w:rsidRPr="007D7E60">
        <w:rPr>
          <w:i/>
          <w:iCs/>
          <w:lang w:val="en-US"/>
        </w:rPr>
        <w:t xml:space="preserve"> J GastroenterolHepatol</w:t>
      </w:r>
      <w:r w:rsidRPr="007D7E60">
        <w:rPr>
          <w:lang w:val="en-US"/>
        </w:rPr>
        <w:t>2002</w:t>
      </w:r>
      <w:proofErr w:type="gramStart"/>
      <w:r w:rsidRPr="007D7E60">
        <w:rPr>
          <w:lang w:val="en-US"/>
        </w:rPr>
        <w:t>;</w:t>
      </w:r>
      <w:r w:rsidRPr="007D7E60">
        <w:rPr>
          <w:bCs/>
          <w:lang w:val="en-US"/>
        </w:rPr>
        <w:t>14</w:t>
      </w:r>
      <w:proofErr w:type="gramEnd"/>
      <w:r w:rsidRPr="007D7E60">
        <w:rPr>
          <w:lang w:val="en-US"/>
        </w:rPr>
        <w:t>: 497-501</w:t>
      </w:r>
    </w:p>
    <w:p w:rsidR="000F7B04" w:rsidRPr="007D7E60" w:rsidRDefault="000F7B04" w:rsidP="00467A32">
      <w:pPr>
        <w:autoSpaceDE w:val="0"/>
        <w:autoSpaceDN w:val="0"/>
        <w:adjustRightInd w:val="0"/>
        <w:ind w:left="0"/>
        <w:rPr>
          <w:bCs/>
          <w:lang w:val="en-US"/>
        </w:rPr>
      </w:pPr>
    </w:p>
    <w:p w:rsidR="00467A32" w:rsidRPr="007D7E60" w:rsidRDefault="00AB0DD0" w:rsidP="00467A32">
      <w:pPr>
        <w:autoSpaceDE w:val="0"/>
        <w:autoSpaceDN w:val="0"/>
        <w:adjustRightInd w:val="0"/>
        <w:ind w:left="0"/>
        <w:rPr>
          <w:lang w:val="en-US"/>
        </w:rPr>
      </w:pPr>
      <w:r w:rsidRPr="007D7E60">
        <w:rPr>
          <w:bCs/>
          <w:lang w:val="en-US"/>
        </w:rPr>
        <w:t>14</w:t>
      </w:r>
      <w:r w:rsidR="00467A32" w:rsidRPr="007D7E60">
        <w:rPr>
          <w:bCs/>
          <w:lang w:val="en-US"/>
        </w:rPr>
        <w:t>. Adler DG</w:t>
      </w:r>
      <w:r w:rsidR="00467A32" w:rsidRPr="007D7E60">
        <w:rPr>
          <w:lang w:val="en-US"/>
        </w:rPr>
        <w:t xml:space="preserve">, </w:t>
      </w:r>
      <w:r w:rsidR="00467A32" w:rsidRPr="007D7E60">
        <w:rPr>
          <w:bCs/>
          <w:lang w:val="en-US"/>
        </w:rPr>
        <w:t>Leighton JA</w:t>
      </w:r>
      <w:r w:rsidR="00467A32" w:rsidRPr="007D7E60">
        <w:rPr>
          <w:lang w:val="en-US"/>
        </w:rPr>
        <w:t xml:space="preserve">, </w:t>
      </w:r>
      <w:r w:rsidR="00467A32" w:rsidRPr="007D7E60">
        <w:rPr>
          <w:bCs/>
          <w:lang w:val="en-US"/>
        </w:rPr>
        <w:t>Davila RE</w:t>
      </w:r>
      <w:r w:rsidR="00467A32" w:rsidRPr="007D7E60">
        <w:rPr>
          <w:lang w:val="en-US"/>
        </w:rPr>
        <w:t xml:space="preserve">, </w:t>
      </w:r>
      <w:proofErr w:type="spellStart"/>
      <w:r w:rsidR="00467A32" w:rsidRPr="007D7E60">
        <w:rPr>
          <w:bCs/>
          <w:lang w:val="en-US"/>
        </w:rPr>
        <w:t>Hirota</w:t>
      </w:r>
      <w:proofErr w:type="spellEnd"/>
      <w:r w:rsidR="00467A32" w:rsidRPr="007D7E60">
        <w:rPr>
          <w:bCs/>
          <w:lang w:val="en-US"/>
        </w:rPr>
        <w:t xml:space="preserve"> WK</w:t>
      </w:r>
      <w:r w:rsidR="00467A32" w:rsidRPr="007D7E60">
        <w:rPr>
          <w:lang w:val="en-US"/>
        </w:rPr>
        <w:t xml:space="preserve">, </w:t>
      </w:r>
      <w:r w:rsidR="00467A32" w:rsidRPr="007D7E60">
        <w:rPr>
          <w:bCs/>
          <w:lang w:val="en-US"/>
        </w:rPr>
        <w:t>Jacobson BC</w:t>
      </w:r>
      <w:r w:rsidR="00467A32" w:rsidRPr="007D7E60">
        <w:rPr>
          <w:lang w:val="en-US"/>
        </w:rPr>
        <w:t xml:space="preserve">, </w:t>
      </w:r>
      <w:proofErr w:type="spellStart"/>
      <w:r w:rsidR="00467A32" w:rsidRPr="007D7E60">
        <w:rPr>
          <w:bCs/>
          <w:lang w:val="en-US"/>
        </w:rPr>
        <w:t>Qureshi</w:t>
      </w:r>
      <w:proofErr w:type="spellEnd"/>
      <w:r w:rsidR="00467A32" w:rsidRPr="007D7E60">
        <w:rPr>
          <w:bCs/>
          <w:lang w:val="en-US"/>
        </w:rPr>
        <w:t xml:space="preserve"> WA.</w:t>
      </w:r>
      <w:r w:rsidR="00467A32" w:rsidRPr="007D7E60">
        <w:rPr>
          <w:lang w:val="en-US"/>
        </w:rPr>
        <w:t>ASGE guideline: the role of endoscopy in acute non-</w:t>
      </w:r>
      <w:proofErr w:type="spellStart"/>
      <w:r w:rsidR="00467A32" w:rsidRPr="007D7E60">
        <w:rPr>
          <w:lang w:val="en-US"/>
        </w:rPr>
        <w:t>variceal</w:t>
      </w:r>
      <w:proofErr w:type="spellEnd"/>
      <w:r w:rsidR="00467A32" w:rsidRPr="007D7E60">
        <w:rPr>
          <w:lang w:val="en-US"/>
        </w:rPr>
        <w:t xml:space="preserve"> upper-GI hemorrhage.</w:t>
      </w:r>
      <w:r w:rsidR="00467A32" w:rsidRPr="007D7E60">
        <w:rPr>
          <w:i/>
          <w:iCs/>
          <w:lang w:val="en-US"/>
        </w:rPr>
        <w:t>GastrointestEndosc</w:t>
      </w:r>
      <w:r w:rsidR="00467A32" w:rsidRPr="007D7E60">
        <w:rPr>
          <w:lang w:val="en-US"/>
        </w:rPr>
        <w:t xml:space="preserve">2004; </w:t>
      </w:r>
      <w:r w:rsidR="00467A32" w:rsidRPr="007D7E60">
        <w:rPr>
          <w:bCs/>
          <w:lang w:val="en-US"/>
        </w:rPr>
        <w:t>60</w:t>
      </w:r>
      <w:r w:rsidR="00467A32" w:rsidRPr="007D7E60">
        <w:rPr>
          <w:lang w:val="en-US"/>
        </w:rPr>
        <w:t>: 497-504</w:t>
      </w:r>
    </w:p>
    <w:p w:rsidR="000F7B04" w:rsidRPr="007D7E60" w:rsidRDefault="000F7B04" w:rsidP="00467A32">
      <w:pPr>
        <w:autoSpaceDE w:val="0"/>
        <w:autoSpaceDN w:val="0"/>
        <w:adjustRightInd w:val="0"/>
        <w:ind w:left="0"/>
        <w:rPr>
          <w:lang w:val="en-US"/>
        </w:rPr>
      </w:pPr>
    </w:p>
    <w:p w:rsidR="00467A32" w:rsidRPr="007D7E60" w:rsidRDefault="00AB0DD0" w:rsidP="00467A32">
      <w:pPr>
        <w:autoSpaceDE w:val="0"/>
        <w:autoSpaceDN w:val="0"/>
        <w:adjustRightInd w:val="0"/>
        <w:ind w:left="0"/>
        <w:rPr>
          <w:lang w:val="en-US"/>
        </w:rPr>
      </w:pPr>
      <w:r w:rsidRPr="007D7E60">
        <w:rPr>
          <w:lang w:val="en-US"/>
        </w:rPr>
        <w:t>15</w:t>
      </w:r>
      <w:r w:rsidR="00467A32" w:rsidRPr="007D7E60">
        <w:rPr>
          <w:lang w:val="en-US"/>
        </w:rPr>
        <w:t xml:space="preserve">. </w:t>
      </w:r>
      <w:proofErr w:type="spellStart"/>
      <w:r w:rsidR="00467A32" w:rsidRPr="007D7E60">
        <w:rPr>
          <w:bCs/>
          <w:lang w:val="en-US"/>
        </w:rPr>
        <w:t>Eisen</w:t>
      </w:r>
      <w:proofErr w:type="spellEnd"/>
      <w:r w:rsidR="00467A32" w:rsidRPr="007D7E60">
        <w:rPr>
          <w:bCs/>
          <w:lang w:val="en-US"/>
        </w:rPr>
        <w:t xml:space="preserve"> GM, </w:t>
      </w:r>
      <w:proofErr w:type="spellStart"/>
      <w:r w:rsidR="00467A32" w:rsidRPr="007D7E60">
        <w:rPr>
          <w:bCs/>
          <w:lang w:val="en-US"/>
        </w:rPr>
        <w:t>Dominitz</w:t>
      </w:r>
      <w:proofErr w:type="spellEnd"/>
      <w:r w:rsidR="00467A32" w:rsidRPr="007D7E60">
        <w:rPr>
          <w:bCs/>
          <w:lang w:val="en-US"/>
        </w:rPr>
        <w:t xml:space="preserve"> JA, </w:t>
      </w:r>
      <w:proofErr w:type="spellStart"/>
      <w:r w:rsidR="00467A32" w:rsidRPr="007D7E60">
        <w:rPr>
          <w:bCs/>
          <w:lang w:val="en-US"/>
        </w:rPr>
        <w:t>Faigel</w:t>
      </w:r>
      <w:proofErr w:type="spellEnd"/>
      <w:r w:rsidR="00467A32" w:rsidRPr="007D7E60">
        <w:rPr>
          <w:bCs/>
          <w:lang w:val="en-US"/>
        </w:rPr>
        <w:t xml:space="preserve"> DO, Goldstein JL, </w:t>
      </w:r>
      <w:proofErr w:type="spellStart"/>
      <w:r w:rsidR="00467A32" w:rsidRPr="007D7E60">
        <w:rPr>
          <w:bCs/>
          <w:lang w:val="en-US"/>
        </w:rPr>
        <w:t>KallooAN,Petersen</w:t>
      </w:r>
      <w:proofErr w:type="spellEnd"/>
      <w:r w:rsidR="00467A32" w:rsidRPr="007D7E60">
        <w:rPr>
          <w:bCs/>
          <w:lang w:val="en-US"/>
        </w:rPr>
        <w:t xml:space="preserve"> </w:t>
      </w:r>
      <w:proofErr w:type="spellStart"/>
      <w:r w:rsidR="00467A32" w:rsidRPr="007D7E60">
        <w:rPr>
          <w:bCs/>
          <w:lang w:val="en-US"/>
        </w:rPr>
        <w:t>BT,et</w:t>
      </w:r>
      <w:proofErr w:type="spellEnd"/>
      <w:r w:rsidR="00467A32" w:rsidRPr="007D7E60">
        <w:rPr>
          <w:bCs/>
          <w:lang w:val="en-US"/>
        </w:rPr>
        <w:t xml:space="preserve"> al</w:t>
      </w:r>
      <w:r w:rsidR="00467A32" w:rsidRPr="007D7E60">
        <w:rPr>
          <w:lang w:val="en-US"/>
        </w:rPr>
        <w:t>. An annotated algorithmic approach to upper gastrointestinal bleeding.</w:t>
      </w:r>
      <w:r w:rsidR="00467A32" w:rsidRPr="007D7E60">
        <w:rPr>
          <w:i/>
          <w:iCs/>
          <w:lang w:val="en-US"/>
        </w:rPr>
        <w:t>GastrointestEndosc</w:t>
      </w:r>
      <w:r w:rsidR="00467A32" w:rsidRPr="007D7E60">
        <w:rPr>
          <w:lang w:val="en-US"/>
        </w:rPr>
        <w:t xml:space="preserve">2001; </w:t>
      </w:r>
      <w:r w:rsidR="00467A32" w:rsidRPr="007D7E60">
        <w:rPr>
          <w:bCs/>
          <w:lang w:val="en-US"/>
        </w:rPr>
        <w:t>53</w:t>
      </w:r>
      <w:r w:rsidR="00467A32" w:rsidRPr="007D7E60">
        <w:rPr>
          <w:lang w:val="en-US"/>
        </w:rPr>
        <w:t>: 853-8</w:t>
      </w:r>
    </w:p>
    <w:p w:rsidR="000F7B04" w:rsidRPr="007D7E60" w:rsidRDefault="000F7B04" w:rsidP="00467A32">
      <w:pPr>
        <w:autoSpaceDE w:val="0"/>
        <w:autoSpaceDN w:val="0"/>
        <w:adjustRightInd w:val="0"/>
        <w:ind w:left="0"/>
        <w:rPr>
          <w:lang w:val="en-US"/>
        </w:rPr>
      </w:pPr>
    </w:p>
    <w:p w:rsidR="00467A32" w:rsidRPr="007D7E60" w:rsidRDefault="00AB0DD0" w:rsidP="00467A32">
      <w:pPr>
        <w:autoSpaceDE w:val="0"/>
        <w:autoSpaceDN w:val="0"/>
        <w:adjustRightInd w:val="0"/>
        <w:ind w:left="0"/>
        <w:rPr>
          <w:lang w:val="en-US"/>
        </w:rPr>
      </w:pPr>
      <w:r w:rsidRPr="007D7E60">
        <w:rPr>
          <w:lang w:val="en-US"/>
        </w:rPr>
        <w:t>16</w:t>
      </w:r>
      <w:r w:rsidR="00467A32" w:rsidRPr="007D7E60">
        <w:rPr>
          <w:lang w:val="en-US"/>
        </w:rPr>
        <w:t xml:space="preserve">. </w:t>
      </w:r>
      <w:r w:rsidR="00467A32" w:rsidRPr="007D7E60">
        <w:rPr>
          <w:bCs/>
          <w:lang w:val="en-US"/>
        </w:rPr>
        <w:t xml:space="preserve">Jensen DM, Kovacs TO, </w:t>
      </w:r>
      <w:proofErr w:type="spellStart"/>
      <w:r w:rsidR="00467A32" w:rsidRPr="007D7E60">
        <w:rPr>
          <w:bCs/>
          <w:lang w:val="en-US"/>
        </w:rPr>
        <w:t>Jutabha</w:t>
      </w:r>
      <w:proofErr w:type="spellEnd"/>
      <w:r w:rsidR="00467A32" w:rsidRPr="007D7E60">
        <w:rPr>
          <w:bCs/>
          <w:lang w:val="en-US"/>
        </w:rPr>
        <w:t xml:space="preserve"> R, </w:t>
      </w:r>
      <w:proofErr w:type="spellStart"/>
      <w:r w:rsidR="00467A32" w:rsidRPr="007D7E60">
        <w:rPr>
          <w:bCs/>
          <w:lang w:val="en-US"/>
        </w:rPr>
        <w:t>Machicado</w:t>
      </w:r>
      <w:proofErr w:type="spellEnd"/>
      <w:r w:rsidR="00467A32" w:rsidRPr="007D7E60">
        <w:rPr>
          <w:bCs/>
          <w:lang w:val="en-US"/>
        </w:rPr>
        <w:t xml:space="preserve"> GA, </w:t>
      </w:r>
      <w:proofErr w:type="spellStart"/>
      <w:r w:rsidR="00467A32" w:rsidRPr="007D7E60">
        <w:rPr>
          <w:bCs/>
          <w:lang w:val="en-US"/>
        </w:rPr>
        <w:t>Gralnek</w:t>
      </w:r>
      <w:proofErr w:type="spellEnd"/>
      <w:r w:rsidR="00467A32" w:rsidRPr="007D7E60">
        <w:rPr>
          <w:bCs/>
          <w:lang w:val="en-US"/>
        </w:rPr>
        <w:t xml:space="preserve"> IM, </w:t>
      </w:r>
      <w:proofErr w:type="spellStart"/>
      <w:r w:rsidR="00467A32" w:rsidRPr="007D7E60">
        <w:rPr>
          <w:bCs/>
          <w:lang w:val="en-US"/>
        </w:rPr>
        <w:t>SavidesTJ</w:t>
      </w:r>
      <w:proofErr w:type="spellEnd"/>
      <w:r w:rsidR="00467A32" w:rsidRPr="007D7E60">
        <w:rPr>
          <w:bCs/>
          <w:lang w:val="en-US"/>
        </w:rPr>
        <w:t xml:space="preserve">, Smith J, et al. </w:t>
      </w:r>
      <w:r w:rsidR="00467A32" w:rsidRPr="007D7E60">
        <w:rPr>
          <w:lang w:val="en-US"/>
        </w:rPr>
        <w:t xml:space="preserve">Randomized trial of medical or endoscopic therapy to preventrecurrent ulcer hemorrhage in patients with adherent clots. </w:t>
      </w:r>
      <w:r w:rsidR="00467A32" w:rsidRPr="007D7E60">
        <w:rPr>
          <w:i/>
          <w:iCs/>
          <w:lang w:val="en-US"/>
        </w:rPr>
        <w:t>Gastroenterology</w:t>
      </w:r>
      <w:r w:rsidR="00467A32" w:rsidRPr="007D7E60">
        <w:rPr>
          <w:lang w:val="en-US"/>
        </w:rPr>
        <w:t>2002</w:t>
      </w:r>
      <w:proofErr w:type="gramStart"/>
      <w:r w:rsidR="00467A32" w:rsidRPr="007D7E60">
        <w:rPr>
          <w:lang w:val="en-US"/>
        </w:rPr>
        <w:t>;</w:t>
      </w:r>
      <w:r w:rsidR="00467A32" w:rsidRPr="007D7E60">
        <w:rPr>
          <w:bCs/>
          <w:lang w:val="en-US"/>
        </w:rPr>
        <w:t>123</w:t>
      </w:r>
      <w:proofErr w:type="gramEnd"/>
      <w:r w:rsidR="00467A32" w:rsidRPr="007D7E60">
        <w:rPr>
          <w:lang w:val="en-US"/>
        </w:rPr>
        <w:t>: 407-13</w:t>
      </w:r>
    </w:p>
    <w:p w:rsidR="00A25A7F" w:rsidRPr="007D7E60" w:rsidRDefault="00A25A7F" w:rsidP="00467A32">
      <w:pPr>
        <w:autoSpaceDE w:val="0"/>
        <w:autoSpaceDN w:val="0"/>
        <w:adjustRightInd w:val="0"/>
        <w:ind w:left="0"/>
        <w:rPr>
          <w:lang w:val="en-US"/>
        </w:rPr>
      </w:pPr>
    </w:p>
    <w:p w:rsidR="00467A32" w:rsidRPr="007D7E60" w:rsidRDefault="00AB0DD0" w:rsidP="00467A32">
      <w:pPr>
        <w:autoSpaceDE w:val="0"/>
        <w:autoSpaceDN w:val="0"/>
        <w:adjustRightInd w:val="0"/>
        <w:ind w:left="0"/>
        <w:rPr>
          <w:lang w:val="en-US"/>
        </w:rPr>
      </w:pPr>
      <w:r w:rsidRPr="007D7E60">
        <w:rPr>
          <w:lang w:val="en-US"/>
        </w:rPr>
        <w:t>17</w:t>
      </w:r>
      <w:r w:rsidR="00467A32" w:rsidRPr="007D7E60">
        <w:rPr>
          <w:lang w:val="en-US"/>
        </w:rPr>
        <w:t xml:space="preserve">. </w:t>
      </w:r>
      <w:proofErr w:type="spellStart"/>
      <w:r w:rsidR="00467A32" w:rsidRPr="007D7E60">
        <w:rPr>
          <w:bCs/>
          <w:lang w:val="en-US"/>
        </w:rPr>
        <w:t>Rockall</w:t>
      </w:r>
      <w:proofErr w:type="spellEnd"/>
      <w:r w:rsidR="00467A32" w:rsidRPr="007D7E60">
        <w:rPr>
          <w:bCs/>
          <w:lang w:val="en-US"/>
        </w:rPr>
        <w:t xml:space="preserve"> TA, Logan RFA, Devlin HB, Northfield TC. </w:t>
      </w:r>
      <w:proofErr w:type="gramStart"/>
      <w:r w:rsidR="00467A32" w:rsidRPr="007D7E60">
        <w:rPr>
          <w:lang w:val="en-US"/>
        </w:rPr>
        <w:t xml:space="preserve">Selection of patients forearly discharge or outpatient care after acute upper gastrointestinal </w:t>
      </w:r>
      <w:proofErr w:type="spellStart"/>
      <w:r w:rsidR="00467A32" w:rsidRPr="007D7E60">
        <w:rPr>
          <w:lang w:val="en-US"/>
        </w:rPr>
        <w:t>haemorrhage.National</w:t>
      </w:r>
      <w:proofErr w:type="spellEnd"/>
      <w:r w:rsidR="00467A32" w:rsidRPr="007D7E60">
        <w:rPr>
          <w:lang w:val="en-US"/>
        </w:rPr>
        <w:t xml:space="preserve"> Audit of Acute Upper Gastrointestinal </w:t>
      </w:r>
      <w:proofErr w:type="spellStart"/>
      <w:r w:rsidR="00467A32" w:rsidRPr="007D7E60">
        <w:rPr>
          <w:lang w:val="en-US"/>
        </w:rPr>
        <w:t>Haemorrhage</w:t>
      </w:r>
      <w:proofErr w:type="spellEnd"/>
      <w:r w:rsidR="00467A32" w:rsidRPr="007D7E60">
        <w:rPr>
          <w:lang w:val="en-US"/>
        </w:rPr>
        <w:t>.</w:t>
      </w:r>
      <w:proofErr w:type="gramEnd"/>
      <w:r w:rsidR="00467A32" w:rsidRPr="007D7E60">
        <w:rPr>
          <w:lang w:val="en-US"/>
        </w:rPr>
        <w:t xml:space="preserve"> </w:t>
      </w:r>
      <w:r w:rsidR="00467A32" w:rsidRPr="007D7E60">
        <w:rPr>
          <w:i/>
          <w:iCs/>
          <w:lang w:val="en-US"/>
        </w:rPr>
        <w:t>Lancet</w:t>
      </w:r>
      <w:r w:rsidR="00467A32" w:rsidRPr="007D7E60">
        <w:rPr>
          <w:lang w:val="en-US"/>
        </w:rPr>
        <w:t>1996</w:t>
      </w:r>
      <w:proofErr w:type="gramStart"/>
      <w:r w:rsidR="00467A32" w:rsidRPr="007D7E60">
        <w:rPr>
          <w:lang w:val="en-US"/>
        </w:rPr>
        <w:t>;</w:t>
      </w:r>
      <w:r w:rsidR="00467A32" w:rsidRPr="007D7E60">
        <w:rPr>
          <w:bCs/>
          <w:lang w:val="en-US"/>
        </w:rPr>
        <w:t>347</w:t>
      </w:r>
      <w:r w:rsidR="00467A32" w:rsidRPr="007D7E60">
        <w:rPr>
          <w:lang w:val="en-US"/>
        </w:rPr>
        <w:t>:1138</w:t>
      </w:r>
      <w:proofErr w:type="gramEnd"/>
      <w:r w:rsidR="00467A32" w:rsidRPr="007D7E60">
        <w:rPr>
          <w:lang w:val="en-US"/>
        </w:rPr>
        <w:t>-40.</w:t>
      </w:r>
    </w:p>
    <w:p w:rsidR="000F7B04" w:rsidRPr="007D7E60" w:rsidRDefault="000F7B04" w:rsidP="00467A32">
      <w:pPr>
        <w:autoSpaceDE w:val="0"/>
        <w:autoSpaceDN w:val="0"/>
        <w:adjustRightInd w:val="0"/>
        <w:ind w:left="0"/>
        <w:rPr>
          <w:bCs/>
          <w:lang w:val="en-US"/>
        </w:rPr>
      </w:pPr>
    </w:p>
    <w:p w:rsidR="00467A32" w:rsidRPr="007D7E60" w:rsidRDefault="00AB0DD0" w:rsidP="00467A32">
      <w:pPr>
        <w:autoSpaceDE w:val="0"/>
        <w:autoSpaceDN w:val="0"/>
        <w:adjustRightInd w:val="0"/>
        <w:ind w:left="0"/>
        <w:rPr>
          <w:lang w:val="en-US"/>
        </w:rPr>
      </w:pPr>
      <w:r w:rsidRPr="007D7E60">
        <w:rPr>
          <w:bCs/>
          <w:lang w:val="en-US"/>
        </w:rPr>
        <w:t>18</w:t>
      </w:r>
      <w:r w:rsidR="00467A32" w:rsidRPr="007D7E60">
        <w:rPr>
          <w:bCs/>
          <w:lang w:val="en-US"/>
        </w:rPr>
        <w:t xml:space="preserve">. </w:t>
      </w:r>
      <w:proofErr w:type="spellStart"/>
      <w:r w:rsidR="00467A32" w:rsidRPr="007D7E60">
        <w:rPr>
          <w:bCs/>
          <w:lang w:val="en-US"/>
        </w:rPr>
        <w:t>Vreeburg</w:t>
      </w:r>
      <w:proofErr w:type="spellEnd"/>
      <w:r w:rsidR="00467A32" w:rsidRPr="007D7E60">
        <w:rPr>
          <w:bCs/>
          <w:lang w:val="en-US"/>
        </w:rPr>
        <w:t xml:space="preserve"> EM, </w:t>
      </w:r>
      <w:proofErr w:type="spellStart"/>
      <w:r w:rsidR="00467A32" w:rsidRPr="007D7E60">
        <w:rPr>
          <w:bCs/>
          <w:lang w:val="en-US"/>
        </w:rPr>
        <w:t>Terwee</w:t>
      </w:r>
      <w:proofErr w:type="spellEnd"/>
      <w:r w:rsidR="00467A32" w:rsidRPr="007D7E60">
        <w:rPr>
          <w:bCs/>
          <w:lang w:val="en-US"/>
        </w:rPr>
        <w:t xml:space="preserve"> CB, </w:t>
      </w:r>
      <w:proofErr w:type="spellStart"/>
      <w:r w:rsidR="00467A32" w:rsidRPr="007D7E60">
        <w:rPr>
          <w:bCs/>
          <w:lang w:val="en-US"/>
        </w:rPr>
        <w:t>Snel</w:t>
      </w:r>
      <w:proofErr w:type="spellEnd"/>
      <w:r w:rsidR="00467A32" w:rsidRPr="007D7E60">
        <w:rPr>
          <w:bCs/>
          <w:lang w:val="en-US"/>
        </w:rPr>
        <w:t xml:space="preserve"> P, </w:t>
      </w:r>
      <w:proofErr w:type="spellStart"/>
      <w:r w:rsidR="00467A32" w:rsidRPr="007D7E60">
        <w:rPr>
          <w:bCs/>
          <w:lang w:val="en-US"/>
        </w:rPr>
        <w:t>Rauws</w:t>
      </w:r>
      <w:proofErr w:type="spellEnd"/>
      <w:r w:rsidR="00467A32" w:rsidRPr="007D7E60">
        <w:rPr>
          <w:bCs/>
          <w:lang w:val="en-US"/>
        </w:rPr>
        <w:t xml:space="preserve"> EA, </w:t>
      </w:r>
      <w:proofErr w:type="spellStart"/>
      <w:r w:rsidR="00467A32" w:rsidRPr="007D7E60">
        <w:rPr>
          <w:bCs/>
          <w:lang w:val="en-US"/>
        </w:rPr>
        <w:t>Bartelsman</w:t>
      </w:r>
      <w:proofErr w:type="spellEnd"/>
      <w:r w:rsidR="00467A32" w:rsidRPr="007D7E60">
        <w:rPr>
          <w:bCs/>
          <w:lang w:val="en-US"/>
        </w:rPr>
        <w:t xml:space="preserve"> JF, </w:t>
      </w:r>
      <w:proofErr w:type="spellStart"/>
      <w:r w:rsidR="00467A32" w:rsidRPr="007D7E60">
        <w:rPr>
          <w:bCs/>
          <w:lang w:val="en-US"/>
        </w:rPr>
        <w:t>Meulen</w:t>
      </w:r>
      <w:proofErr w:type="spellEnd"/>
      <w:r w:rsidR="00467A32" w:rsidRPr="007D7E60">
        <w:rPr>
          <w:bCs/>
          <w:lang w:val="en-US"/>
        </w:rPr>
        <w:t xml:space="preserve"> </w:t>
      </w:r>
      <w:proofErr w:type="spellStart"/>
      <w:r w:rsidR="00467A32" w:rsidRPr="007D7E60">
        <w:rPr>
          <w:bCs/>
          <w:lang w:val="en-US"/>
        </w:rPr>
        <w:t>JHP</w:t>
      </w:r>
      <w:proofErr w:type="gramStart"/>
      <w:r w:rsidR="00467A32" w:rsidRPr="007D7E60">
        <w:rPr>
          <w:bCs/>
          <w:lang w:val="en-US"/>
        </w:rPr>
        <w:t>,et</w:t>
      </w:r>
      <w:proofErr w:type="spellEnd"/>
      <w:proofErr w:type="gramEnd"/>
      <w:r w:rsidR="00467A32" w:rsidRPr="007D7E60">
        <w:rPr>
          <w:bCs/>
          <w:lang w:val="en-US"/>
        </w:rPr>
        <w:t xml:space="preserve"> al. </w:t>
      </w:r>
      <w:r w:rsidR="00467A32" w:rsidRPr="007D7E60">
        <w:rPr>
          <w:lang w:val="en-US"/>
        </w:rPr>
        <w:t xml:space="preserve">Validation of the </w:t>
      </w:r>
      <w:proofErr w:type="spellStart"/>
      <w:r w:rsidR="00467A32" w:rsidRPr="007D7E60">
        <w:rPr>
          <w:lang w:val="en-US"/>
        </w:rPr>
        <w:t>Rockall</w:t>
      </w:r>
      <w:proofErr w:type="spellEnd"/>
      <w:r w:rsidR="00467A32" w:rsidRPr="007D7E60">
        <w:rPr>
          <w:lang w:val="en-US"/>
        </w:rPr>
        <w:t xml:space="preserve"> risk scoring system in upper gastrointestinalbleeding. </w:t>
      </w:r>
      <w:r w:rsidR="00467A32" w:rsidRPr="007D7E60">
        <w:rPr>
          <w:i/>
          <w:iCs/>
          <w:lang w:val="en-US"/>
        </w:rPr>
        <w:t xml:space="preserve">Gut </w:t>
      </w:r>
      <w:r w:rsidR="00467A32" w:rsidRPr="007D7E60">
        <w:rPr>
          <w:lang w:val="en-US"/>
        </w:rPr>
        <w:t xml:space="preserve">1999; </w:t>
      </w:r>
      <w:r w:rsidR="00467A32" w:rsidRPr="007D7E60">
        <w:rPr>
          <w:bCs/>
          <w:lang w:val="en-US"/>
        </w:rPr>
        <w:t>44</w:t>
      </w:r>
      <w:r w:rsidR="00467A32" w:rsidRPr="007D7E60">
        <w:rPr>
          <w:lang w:val="en-US"/>
        </w:rPr>
        <w:t>: 331-5</w:t>
      </w:r>
    </w:p>
    <w:p w:rsidR="000F7B04" w:rsidRPr="007D7E60" w:rsidRDefault="000F7B04" w:rsidP="00467A32">
      <w:pPr>
        <w:autoSpaceDE w:val="0"/>
        <w:autoSpaceDN w:val="0"/>
        <w:adjustRightInd w:val="0"/>
        <w:ind w:left="0"/>
        <w:rPr>
          <w:bCs/>
          <w:lang w:val="en-US"/>
        </w:rPr>
      </w:pPr>
    </w:p>
    <w:p w:rsidR="00467A32" w:rsidRPr="007D7E60" w:rsidRDefault="00AB0DD0" w:rsidP="00467A32">
      <w:pPr>
        <w:autoSpaceDE w:val="0"/>
        <w:autoSpaceDN w:val="0"/>
        <w:adjustRightInd w:val="0"/>
        <w:ind w:left="0"/>
      </w:pPr>
      <w:r w:rsidRPr="007D7E60">
        <w:rPr>
          <w:bCs/>
          <w:lang w:val="en-US"/>
        </w:rPr>
        <w:t>19</w:t>
      </w:r>
      <w:r w:rsidR="00467A32" w:rsidRPr="007D7E60">
        <w:rPr>
          <w:bCs/>
          <w:lang w:val="en-US"/>
        </w:rPr>
        <w:t xml:space="preserve">. </w:t>
      </w:r>
      <w:proofErr w:type="spellStart"/>
      <w:r w:rsidR="00467A32" w:rsidRPr="007D7E60">
        <w:rPr>
          <w:bCs/>
          <w:lang w:val="en-US"/>
        </w:rPr>
        <w:t>Cipolletta</w:t>
      </w:r>
      <w:proofErr w:type="spellEnd"/>
      <w:r w:rsidR="00467A32" w:rsidRPr="007D7E60">
        <w:rPr>
          <w:bCs/>
          <w:lang w:val="en-US"/>
        </w:rPr>
        <w:t xml:space="preserve"> L, </w:t>
      </w:r>
      <w:proofErr w:type="spellStart"/>
      <w:r w:rsidR="00467A32" w:rsidRPr="007D7E60">
        <w:rPr>
          <w:bCs/>
          <w:lang w:val="en-US"/>
        </w:rPr>
        <w:t>Bianco</w:t>
      </w:r>
      <w:proofErr w:type="spellEnd"/>
      <w:r w:rsidR="00467A32" w:rsidRPr="007D7E60">
        <w:rPr>
          <w:bCs/>
          <w:lang w:val="en-US"/>
        </w:rPr>
        <w:t xml:space="preserve"> MA, </w:t>
      </w:r>
      <w:proofErr w:type="spellStart"/>
      <w:r w:rsidR="00467A32" w:rsidRPr="007D7E60">
        <w:rPr>
          <w:bCs/>
          <w:lang w:val="en-US"/>
        </w:rPr>
        <w:t>Rotondano</w:t>
      </w:r>
      <w:proofErr w:type="spellEnd"/>
      <w:r w:rsidR="00467A32" w:rsidRPr="007D7E60">
        <w:rPr>
          <w:bCs/>
          <w:lang w:val="en-US"/>
        </w:rPr>
        <w:t xml:space="preserve"> G, </w:t>
      </w:r>
      <w:proofErr w:type="spellStart"/>
      <w:r w:rsidR="00467A32" w:rsidRPr="007D7E60">
        <w:rPr>
          <w:bCs/>
          <w:lang w:val="en-US"/>
        </w:rPr>
        <w:t>Marmo</w:t>
      </w:r>
      <w:proofErr w:type="spellEnd"/>
      <w:r w:rsidR="00467A32" w:rsidRPr="007D7E60">
        <w:rPr>
          <w:bCs/>
          <w:lang w:val="en-US"/>
        </w:rPr>
        <w:t xml:space="preserve"> R, </w:t>
      </w:r>
      <w:proofErr w:type="spellStart"/>
      <w:r w:rsidR="00467A32" w:rsidRPr="007D7E60">
        <w:rPr>
          <w:bCs/>
          <w:lang w:val="en-US"/>
        </w:rPr>
        <w:t>Piscopo</w:t>
      </w:r>
      <w:proofErr w:type="spellEnd"/>
      <w:r w:rsidR="00467A32" w:rsidRPr="007D7E60">
        <w:rPr>
          <w:bCs/>
          <w:lang w:val="en-US"/>
        </w:rPr>
        <w:t xml:space="preserve"> R. </w:t>
      </w:r>
      <w:proofErr w:type="spellStart"/>
      <w:r w:rsidR="00467A32" w:rsidRPr="007D7E60">
        <w:rPr>
          <w:lang w:val="en-US"/>
        </w:rPr>
        <w:t>Outpatientmanagement</w:t>
      </w:r>
      <w:proofErr w:type="spellEnd"/>
      <w:r w:rsidR="00467A32" w:rsidRPr="007D7E60">
        <w:rPr>
          <w:lang w:val="en-US"/>
        </w:rPr>
        <w:t xml:space="preserve"> for low-risk </w:t>
      </w:r>
      <w:proofErr w:type="spellStart"/>
      <w:r w:rsidR="00467A32" w:rsidRPr="007D7E60">
        <w:rPr>
          <w:lang w:val="en-US"/>
        </w:rPr>
        <w:t>nonvariceal</w:t>
      </w:r>
      <w:proofErr w:type="spellEnd"/>
      <w:r w:rsidR="00467A32" w:rsidRPr="007D7E60">
        <w:rPr>
          <w:lang w:val="en-US"/>
        </w:rPr>
        <w:t xml:space="preserve"> upper GI bleeding: a randomized controlledtrial. </w:t>
      </w:r>
      <w:r w:rsidR="00467A32" w:rsidRPr="007D7E60">
        <w:rPr>
          <w:i/>
          <w:iCs/>
        </w:rPr>
        <w:t>GastrointestEndosc</w:t>
      </w:r>
      <w:r w:rsidR="00467A32" w:rsidRPr="007D7E60">
        <w:t xml:space="preserve">2002; </w:t>
      </w:r>
      <w:r w:rsidR="00467A32" w:rsidRPr="007D7E60">
        <w:rPr>
          <w:bCs/>
        </w:rPr>
        <w:t>55</w:t>
      </w:r>
      <w:r w:rsidR="00467A32" w:rsidRPr="007D7E60">
        <w:t>: 1-5</w:t>
      </w:r>
    </w:p>
    <w:p w:rsidR="000F7B04" w:rsidRPr="007D7E60" w:rsidRDefault="000F7B04" w:rsidP="00467A32">
      <w:pPr>
        <w:autoSpaceDE w:val="0"/>
        <w:autoSpaceDN w:val="0"/>
        <w:adjustRightInd w:val="0"/>
        <w:ind w:left="0"/>
        <w:rPr>
          <w:bCs/>
        </w:rPr>
      </w:pPr>
    </w:p>
    <w:p w:rsidR="00467A32" w:rsidRPr="007D7E60" w:rsidRDefault="00AB0DD0" w:rsidP="00467A32">
      <w:pPr>
        <w:autoSpaceDE w:val="0"/>
        <w:autoSpaceDN w:val="0"/>
        <w:adjustRightInd w:val="0"/>
        <w:ind w:left="0"/>
        <w:rPr>
          <w:lang w:val="en-US"/>
        </w:rPr>
      </w:pPr>
      <w:r w:rsidRPr="007D7E60">
        <w:rPr>
          <w:bCs/>
        </w:rPr>
        <w:t>20</w:t>
      </w:r>
      <w:r w:rsidR="00467A32" w:rsidRPr="007D7E60">
        <w:rPr>
          <w:bCs/>
        </w:rPr>
        <w:t xml:space="preserve">. </w:t>
      </w:r>
      <w:proofErr w:type="spellStart"/>
      <w:r w:rsidR="00467A32" w:rsidRPr="007D7E60">
        <w:rPr>
          <w:bCs/>
        </w:rPr>
        <w:t>Adamopoulos</w:t>
      </w:r>
      <w:proofErr w:type="spellEnd"/>
      <w:r w:rsidR="00467A32" w:rsidRPr="007D7E60">
        <w:rPr>
          <w:bCs/>
        </w:rPr>
        <w:t xml:space="preserve"> AB, </w:t>
      </w:r>
      <w:proofErr w:type="spellStart"/>
      <w:r w:rsidR="00467A32" w:rsidRPr="007D7E60">
        <w:rPr>
          <w:bCs/>
        </w:rPr>
        <w:t>Baibas</w:t>
      </w:r>
      <w:proofErr w:type="spellEnd"/>
      <w:r w:rsidR="00467A32" w:rsidRPr="007D7E60">
        <w:rPr>
          <w:bCs/>
        </w:rPr>
        <w:t xml:space="preserve"> NM, </w:t>
      </w:r>
      <w:proofErr w:type="spellStart"/>
      <w:r w:rsidR="00467A32" w:rsidRPr="007D7E60">
        <w:rPr>
          <w:bCs/>
        </w:rPr>
        <w:t>Efstathiou</w:t>
      </w:r>
      <w:proofErr w:type="spellEnd"/>
      <w:r w:rsidR="00467A32" w:rsidRPr="007D7E60">
        <w:rPr>
          <w:bCs/>
        </w:rPr>
        <w:t xml:space="preserve"> SP, </w:t>
      </w:r>
      <w:proofErr w:type="spellStart"/>
      <w:r w:rsidR="00467A32" w:rsidRPr="007D7E60">
        <w:rPr>
          <w:bCs/>
        </w:rPr>
        <w:t>Tsioulos</w:t>
      </w:r>
      <w:proofErr w:type="spellEnd"/>
      <w:r w:rsidR="00467A32" w:rsidRPr="007D7E60">
        <w:rPr>
          <w:bCs/>
        </w:rPr>
        <w:t xml:space="preserve"> DI, </w:t>
      </w:r>
      <w:proofErr w:type="spellStart"/>
      <w:r w:rsidR="00467A32" w:rsidRPr="007D7E60">
        <w:rPr>
          <w:bCs/>
        </w:rPr>
        <w:t>Mitromaras</w:t>
      </w:r>
      <w:proofErr w:type="spellEnd"/>
      <w:r w:rsidR="00467A32" w:rsidRPr="007D7E60">
        <w:rPr>
          <w:bCs/>
        </w:rPr>
        <w:t xml:space="preserve"> </w:t>
      </w:r>
      <w:proofErr w:type="spellStart"/>
      <w:r w:rsidR="00467A32" w:rsidRPr="007D7E60">
        <w:rPr>
          <w:bCs/>
        </w:rPr>
        <w:t>AG</w:t>
      </w:r>
      <w:proofErr w:type="gramStart"/>
      <w:r w:rsidR="00467A32" w:rsidRPr="007D7E60">
        <w:rPr>
          <w:bCs/>
        </w:rPr>
        <w:t>,Tsami</w:t>
      </w:r>
      <w:proofErr w:type="spellEnd"/>
      <w:proofErr w:type="gramEnd"/>
      <w:r w:rsidR="00467A32" w:rsidRPr="007D7E60">
        <w:rPr>
          <w:bCs/>
        </w:rPr>
        <w:t xml:space="preserve"> AA, et al. </w:t>
      </w:r>
      <w:r w:rsidR="00467A32" w:rsidRPr="007D7E60">
        <w:rPr>
          <w:lang w:val="en-US"/>
        </w:rPr>
        <w:t xml:space="preserve">Differentiation between patients with acute upper gastrointestinalbleeding who need early urgent upper gastrointestinal endoscopy and thosewho do not. </w:t>
      </w:r>
      <w:proofErr w:type="gramStart"/>
      <w:r w:rsidR="00467A32" w:rsidRPr="007D7E60">
        <w:rPr>
          <w:lang w:val="en-US"/>
        </w:rPr>
        <w:t>A prospective study.</w:t>
      </w:r>
      <w:proofErr w:type="gramEnd"/>
      <w:r w:rsidR="00467A32" w:rsidRPr="007D7E60">
        <w:rPr>
          <w:lang w:val="en-US"/>
        </w:rPr>
        <w:t xml:space="preserve"> </w:t>
      </w:r>
      <w:proofErr w:type="spellStart"/>
      <w:r w:rsidR="00467A32" w:rsidRPr="007D7E60">
        <w:rPr>
          <w:i/>
          <w:iCs/>
          <w:lang w:val="en-US"/>
        </w:rPr>
        <w:t>Eur</w:t>
      </w:r>
      <w:proofErr w:type="spellEnd"/>
      <w:r w:rsidR="00467A32" w:rsidRPr="007D7E60">
        <w:rPr>
          <w:i/>
          <w:iCs/>
          <w:lang w:val="en-US"/>
        </w:rPr>
        <w:t xml:space="preserve"> J GastroenterolHepatol</w:t>
      </w:r>
      <w:r w:rsidR="00467A32" w:rsidRPr="007D7E60">
        <w:rPr>
          <w:lang w:val="en-US"/>
        </w:rPr>
        <w:t>2003</w:t>
      </w:r>
      <w:proofErr w:type="gramStart"/>
      <w:r w:rsidR="00467A32" w:rsidRPr="007D7E60">
        <w:rPr>
          <w:lang w:val="en-US"/>
        </w:rPr>
        <w:t>;</w:t>
      </w:r>
      <w:r w:rsidR="00467A32" w:rsidRPr="007D7E60">
        <w:rPr>
          <w:bCs/>
          <w:lang w:val="en-US"/>
        </w:rPr>
        <w:t>15</w:t>
      </w:r>
      <w:proofErr w:type="gramEnd"/>
      <w:r w:rsidR="00467A32" w:rsidRPr="007D7E60">
        <w:rPr>
          <w:lang w:val="en-US"/>
        </w:rPr>
        <w:t>: 381-7</w:t>
      </w:r>
    </w:p>
    <w:p w:rsidR="000F7B04" w:rsidRPr="007D7E60" w:rsidRDefault="000F7B04" w:rsidP="00467A32">
      <w:pPr>
        <w:autoSpaceDE w:val="0"/>
        <w:autoSpaceDN w:val="0"/>
        <w:adjustRightInd w:val="0"/>
        <w:ind w:left="0"/>
        <w:rPr>
          <w:lang w:val="en-US"/>
        </w:rPr>
      </w:pPr>
    </w:p>
    <w:p w:rsidR="00467A32" w:rsidRPr="007D7E60" w:rsidRDefault="00AB0DD0" w:rsidP="00467A32">
      <w:pPr>
        <w:autoSpaceDE w:val="0"/>
        <w:autoSpaceDN w:val="0"/>
        <w:adjustRightInd w:val="0"/>
        <w:ind w:left="0"/>
        <w:rPr>
          <w:lang w:val="en-US"/>
        </w:rPr>
      </w:pPr>
      <w:r w:rsidRPr="007D7E60">
        <w:rPr>
          <w:bCs/>
          <w:lang w:val="en-US"/>
        </w:rPr>
        <w:t>21</w:t>
      </w:r>
      <w:r w:rsidR="00467A32" w:rsidRPr="007D7E60">
        <w:rPr>
          <w:bCs/>
          <w:lang w:val="en-US"/>
        </w:rPr>
        <w:t xml:space="preserve">. </w:t>
      </w:r>
      <w:proofErr w:type="spellStart"/>
      <w:r w:rsidR="00467A32" w:rsidRPr="007D7E60">
        <w:rPr>
          <w:bCs/>
          <w:lang w:val="en-US"/>
        </w:rPr>
        <w:t>Bobrowski</w:t>
      </w:r>
      <w:proofErr w:type="spellEnd"/>
      <w:r w:rsidR="00467A32" w:rsidRPr="007D7E60">
        <w:rPr>
          <w:bCs/>
          <w:lang w:val="en-US"/>
        </w:rPr>
        <w:t xml:space="preserve"> C, </w:t>
      </w:r>
      <w:proofErr w:type="spellStart"/>
      <w:r w:rsidR="00467A32" w:rsidRPr="007D7E60">
        <w:rPr>
          <w:bCs/>
          <w:lang w:val="en-US"/>
        </w:rPr>
        <w:t>Ciftrioglu</w:t>
      </w:r>
      <w:proofErr w:type="spellEnd"/>
      <w:r w:rsidR="00467A32" w:rsidRPr="007D7E60">
        <w:rPr>
          <w:bCs/>
          <w:lang w:val="en-US"/>
        </w:rPr>
        <w:t xml:space="preserve"> M, </w:t>
      </w:r>
      <w:proofErr w:type="spellStart"/>
      <w:r w:rsidR="00467A32" w:rsidRPr="007D7E60">
        <w:rPr>
          <w:bCs/>
          <w:lang w:val="en-US"/>
        </w:rPr>
        <w:t>Fritscher</w:t>
      </w:r>
      <w:proofErr w:type="spellEnd"/>
      <w:r w:rsidR="00467A32" w:rsidRPr="007D7E60">
        <w:rPr>
          <w:bCs/>
          <w:lang w:val="en-US"/>
        </w:rPr>
        <w:t xml:space="preserve">-Ravens A, </w:t>
      </w:r>
      <w:proofErr w:type="spellStart"/>
      <w:r w:rsidR="00467A32" w:rsidRPr="007D7E60">
        <w:rPr>
          <w:bCs/>
          <w:lang w:val="en-US"/>
        </w:rPr>
        <w:t>Kreyman</w:t>
      </w:r>
      <w:proofErr w:type="spellEnd"/>
      <w:r w:rsidR="00467A32" w:rsidRPr="007D7E60">
        <w:rPr>
          <w:bCs/>
          <w:lang w:val="en-US"/>
        </w:rPr>
        <w:t xml:space="preserve"> G. </w:t>
      </w:r>
      <w:r w:rsidR="00467A32" w:rsidRPr="007D7E60">
        <w:rPr>
          <w:lang w:val="en-US"/>
        </w:rPr>
        <w:t xml:space="preserve">Predictors ofnecessity of upper gastrointestinal endoscopy in an emergency ward. </w:t>
      </w:r>
      <w:r w:rsidR="00467A32" w:rsidRPr="007D7E60">
        <w:rPr>
          <w:i/>
          <w:iCs/>
          <w:lang w:val="en-US"/>
        </w:rPr>
        <w:t>Endoscopy</w:t>
      </w:r>
      <w:r w:rsidR="00467A32" w:rsidRPr="007D7E60">
        <w:rPr>
          <w:lang w:val="en-US"/>
        </w:rPr>
        <w:t xml:space="preserve">2001; </w:t>
      </w:r>
      <w:r w:rsidR="00467A32" w:rsidRPr="007D7E60">
        <w:rPr>
          <w:bCs/>
          <w:lang w:val="en-US"/>
        </w:rPr>
        <w:t xml:space="preserve">33 </w:t>
      </w:r>
      <w:r w:rsidR="00467A32" w:rsidRPr="007D7E60">
        <w:rPr>
          <w:lang w:val="en-US"/>
        </w:rPr>
        <w:t>(</w:t>
      </w:r>
      <w:proofErr w:type="spellStart"/>
      <w:r w:rsidR="00467A32" w:rsidRPr="007D7E60">
        <w:rPr>
          <w:lang w:val="en-US"/>
        </w:rPr>
        <w:t>suppl</w:t>
      </w:r>
      <w:proofErr w:type="spellEnd"/>
      <w:r w:rsidR="00467A32" w:rsidRPr="007D7E60">
        <w:rPr>
          <w:lang w:val="en-US"/>
        </w:rPr>
        <w:t xml:space="preserve"> 1): 310A</w:t>
      </w:r>
    </w:p>
    <w:p w:rsidR="000F7B04" w:rsidRPr="007D7E60" w:rsidRDefault="000F7B04" w:rsidP="00467A32">
      <w:pPr>
        <w:autoSpaceDE w:val="0"/>
        <w:autoSpaceDN w:val="0"/>
        <w:adjustRightInd w:val="0"/>
        <w:ind w:left="0"/>
        <w:rPr>
          <w:lang w:val="en-US"/>
        </w:rPr>
      </w:pPr>
    </w:p>
    <w:p w:rsidR="00467A32" w:rsidRPr="007D7E60" w:rsidRDefault="00AB0DD0" w:rsidP="00467A32">
      <w:pPr>
        <w:autoSpaceDE w:val="0"/>
        <w:autoSpaceDN w:val="0"/>
        <w:adjustRightInd w:val="0"/>
        <w:ind w:left="0"/>
        <w:rPr>
          <w:lang w:val="en-US"/>
        </w:rPr>
      </w:pPr>
      <w:r w:rsidRPr="007D7E60">
        <w:rPr>
          <w:bCs/>
          <w:lang w:val="en-US"/>
        </w:rPr>
        <w:t>22</w:t>
      </w:r>
      <w:r w:rsidR="00467A32" w:rsidRPr="007D7E60">
        <w:rPr>
          <w:bCs/>
          <w:lang w:val="en-US"/>
        </w:rPr>
        <w:t xml:space="preserve">Aljebreen AM, </w:t>
      </w:r>
      <w:proofErr w:type="spellStart"/>
      <w:r w:rsidR="00467A32" w:rsidRPr="007D7E60">
        <w:rPr>
          <w:bCs/>
          <w:lang w:val="en-US"/>
        </w:rPr>
        <w:t>Fallone</w:t>
      </w:r>
      <w:proofErr w:type="spellEnd"/>
      <w:r w:rsidR="00467A32" w:rsidRPr="007D7E60">
        <w:rPr>
          <w:bCs/>
          <w:lang w:val="en-US"/>
        </w:rPr>
        <w:t xml:space="preserve"> CA, </w:t>
      </w:r>
      <w:proofErr w:type="spellStart"/>
      <w:r w:rsidR="00467A32" w:rsidRPr="007D7E60">
        <w:rPr>
          <w:bCs/>
          <w:lang w:val="en-US"/>
        </w:rPr>
        <w:t>Barkun</w:t>
      </w:r>
      <w:proofErr w:type="spellEnd"/>
      <w:r w:rsidR="00467A32" w:rsidRPr="007D7E60">
        <w:rPr>
          <w:bCs/>
          <w:lang w:val="en-US"/>
        </w:rPr>
        <w:t xml:space="preserve"> AN</w:t>
      </w:r>
      <w:r w:rsidR="00467A32" w:rsidRPr="007D7E60">
        <w:rPr>
          <w:lang w:val="en-US"/>
        </w:rPr>
        <w:t xml:space="preserve">. Nasogastric aspirate predicts </w:t>
      </w:r>
      <w:proofErr w:type="spellStart"/>
      <w:r w:rsidR="00467A32" w:rsidRPr="007D7E60">
        <w:rPr>
          <w:lang w:val="en-US"/>
        </w:rPr>
        <w:t>highriskendoscopic</w:t>
      </w:r>
      <w:proofErr w:type="spellEnd"/>
      <w:r w:rsidR="00467A32" w:rsidRPr="007D7E60">
        <w:rPr>
          <w:lang w:val="en-US"/>
        </w:rPr>
        <w:t xml:space="preserve"> lesions in patients with acute upper-GI bleeding. </w:t>
      </w:r>
      <w:r w:rsidR="00467A32" w:rsidRPr="007D7E60">
        <w:rPr>
          <w:i/>
          <w:iCs/>
          <w:lang w:val="en-US"/>
        </w:rPr>
        <w:t>GastrointestEndosc</w:t>
      </w:r>
      <w:r w:rsidR="00467A32" w:rsidRPr="007D7E60">
        <w:rPr>
          <w:lang w:val="en-US"/>
        </w:rPr>
        <w:t xml:space="preserve">2004; </w:t>
      </w:r>
      <w:r w:rsidR="00467A32" w:rsidRPr="007D7E60">
        <w:rPr>
          <w:bCs/>
          <w:lang w:val="en-US"/>
        </w:rPr>
        <w:t>59</w:t>
      </w:r>
      <w:r w:rsidR="00467A32" w:rsidRPr="007D7E60">
        <w:rPr>
          <w:lang w:val="en-US"/>
        </w:rPr>
        <w:t>: 172-8</w:t>
      </w:r>
    </w:p>
    <w:p w:rsidR="000F7B04" w:rsidRPr="007D7E60" w:rsidRDefault="000F7B04" w:rsidP="00467A32">
      <w:pPr>
        <w:autoSpaceDE w:val="0"/>
        <w:autoSpaceDN w:val="0"/>
        <w:adjustRightInd w:val="0"/>
        <w:ind w:left="0"/>
        <w:rPr>
          <w:lang w:val="en-US"/>
        </w:rPr>
      </w:pPr>
    </w:p>
    <w:p w:rsidR="000071D8" w:rsidRPr="007D7E60" w:rsidRDefault="00AB0DD0" w:rsidP="00AB0DD0">
      <w:pPr>
        <w:autoSpaceDE w:val="0"/>
        <w:autoSpaceDN w:val="0"/>
        <w:adjustRightInd w:val="0"/>
        <w:ind w:left="0"/>
        <w:rPr>
          <w:lang w:val="es-SV"/>
        </w:rPr>
      </w:pPr>
      <w:r w:rsidRPr="007D7E60">
        <w:rPr>
          <w:bCs/>
          <w:lang w:val="en-US"/>
        </w:rPr>
        <w:t>23</w:t>
      </w:r>
      <w:r w:rsidR="00467A32" w:rsidRPr="007D7E60">
        <w:rPr>
          <w:bCs/>
          <w:lang w:val="en-US"/>
        </w:rPr>
        <w:t xml:space="preserve">. </w:t>
      </w:r>
      <w:proofErr w:type="spellStart"/>
      <w:r w:rsidR="00467A32" w:rsidRPr="007D7E60">
        <w:rPr>
          <w:bCs/>
          <w:lang w:val="en-US"/>
        </w:rPr>
        <w:t>Barkun</w:t>
      </w:r>
      <w:proofErr w:type="spellEnd"/>
      <w:r w:rsidR="00467A32" w:rsidRPr="007D7E60">
        <w:rPr>
          <w:bCs/>
          <w:lang w:val="en-US"/>
        </w:rPr>
        <w:t xml:space="preserve"> AN, Chiba N, </w:t>
      </w:r>
      <w:proofErr w:type="spellStart"/>
      <w:r w:rsidR="00467A32" w:rsidRPr="007D7E60">
        <w:rPr>
          <w:bCs/>
          <w:lang w:val="en-US"/>
        </w:rPr>
        <w:t>Enns</w:t>
      </w:r>
      <w:proofErr w:type="spellEnd"/>
      <w:r w:rsidR="00467A32" w:rsidRPr="007D7E60">
        <w:rPr>
          <w:bCs/>
          <w:lang w:val="en-US"/>
        </w:rPr>
        <w:t xml:space="preserve"> R, Marshall J, Armstrong D, </w:t>
      </w:r>
      <w:proofErr w:type="spellStart"/>
      <w:r w:rsidR="00467A32" w:rsidRPr="007D7E60">
        <w:rPr>
          <w:bCs/>
          <w:lang w:val="en-US"/>
        </w:rPr>
        <w:t>Sabbah</w:t>
      </w:r>
      <w:proofErr w:type="spellEnd"/>
      <w:r w:rsidR="00467A32" w:rsidRPr="007D7E60">
        <w:rPr>
          <w:bCs/>
          <w:lang w:val="en-US"/>
        </w:rPr>
        <w:t xml:space="preserve"> S, et al. </w:t>
      </w:r>
      <w:r w:rsidR="00467A32" w:rsidRPr="007D7E60">
        <w:rPr>
          <w:lang w:val="en-US"/>
        </w:rPr>
        <w:t xml:space="preserve">Useof a national endoscopic database to determine the adoption of emerging pharmacologicaland endoscopic technologies in the everyday care of patients with upperGI bleeding: the RUGBE initiative. </w:t>
      </w:r>
      <w:r w:rsidR="00467A32" w:rsidRPr="007D7E60">
        <w:rPr>
          <w:i/>
          <w:iCs/>
          <w:lang w:val="es-SV"/>
        </w:rPr>
        <w:t xml:space="preserve">Am J </w:t>
      </w:r>
      <w:proofErr w:type="spellStart"/>
      <w:r w:rsidR="00467A32" w:rsidRPr="007D7E60">
        <w:rPr>
          <w:i/>
          <w:iCs/>
          <w:lang w:val="es-SV"/>
        </w:rPr>
        <w:t>Gastroenterol</w:t>
      </w:r>
      <w:proofErr w:type="spellEnd"/>
      <w:r w:rsidR="00467A32" w:rsidRPr="007D7E60">
        <w:rPr>
          <w:i/>
          <w:iCs/>
          <w:lang w:val="es-SV"/>
        </w:rPr>
        <w:t xml:space="preserve">. </w:t>
      </w:r>
      <w:r w:rsidR="00467A32" w:rsidRPr="007D7E60">
        <w:rPr>
          <w:lang w:val="es-SV"/>
        </w:rPr>
        <w:t xml:space="preserve">2001; </w:t>
      </w:r>
      <w:r w:rsidR="00467A32" w:rsidRPr="007D7E60">
        <w:rPr>
          <w:bCs/>
          <w:lang w:val="es-SV"/>
        </w:rPr>
        <w:t>96</w:t>
      </w:r>
      <w:r w:rsidR="00467A32" w:rsidRPr="007D7E60">
        <w:rPr>
          <w:lang w:val="es-SV"/>
        </w:rPr>
        <w:t>: S261.</w:t>
      </w:r>
    </w:p>
    <w:p w:rsidR="000F7B04" w:rsidRPr="007D7E60" w:rsidRDefault="000F7B04" w:rsidP="00AB0DD0">
      <w:pPr>
        <w:autoSpaceDE w:val="0"/>
        <w:autoSpaceDN w:val="0"/>
        <w:adjustRightInd w:val="0"/>
        <w:ind w:left="0"/>
        <w:rPr>
          <w:lang w:val="es-SV"/>
        </w:rPr>
      </w:pPr>
    </w:p>
    <w:p w:rsidR="000071D8" w:rsidRPr="007D7E60" w:rsidRDefault="000F7B04" w:rsidP="000F7B04">
      <w:pPr>
        <w:ind w:left="0"/>
        <w:rPr>
          <w:lang w:val="es-SV"/>
        </w:rPr>
      </w:pPr>
      <w:r w:rsidRPr="007D7E60">
        <w:rPr>
          <w:lang w:val="es-SV"/>
        </w:rPr>
        <w:t xml:space="preserve">24. </w:t>
      </w:r>
      <w:r w:rsidR="00A25A7F" w:rsidRPr="007D7E60">
        <w:rPr>
          <w:lang w:val="es-SV"/>
        </w:rPr>
        <w:t>J Espinoza Ríos et al</w:t>
      </w:r>
      <w:proofErr w:type="gramStart"/>
      <w:r w:rsidR="00A25A7F" w:rsidRPr="007D7E60">
        <w:rPr>
          <w:lang w:val="es-SV"/>
        </w:rPr>
        <w:t>,</w:t>
      </w:r>
      <w:r w:rsidRPr="007D7E60">
        <w:rPr>
          <w:lang w:val="es-SV"/>
        </w:rPr>
        <w:t>Validación</w:t>
      </w:r>
      <w:proofErr w:type="gramEnd"/>
      <w:r w:rsidRPr="007D7E60">
        <w:rPr>
          <w:lang w:val="es-SV"/>
        </w:rPr>
        <w:t xml:space="preserve"> del Score de </w:t>
      </w:r>
      <w:proofErr w:type="spellStart"/>
      <w:r w:rsidRPr="007D7E60">
        <w:rPr>
          <w:lang w:val="es-SV"/>
        </w:rPr>
        <w:t>Rockall</w:t>
      </w:r>
      <w:proofErr w:type="spellEnd"/>
      <w:r w:rsidRPr="007D7E60">
        <w:rPr>
          <w:lang w:val="es-SV"/>
        </w:rPr>
        <w:t xml:space="preserve"> en Pacientes con Hemorragia Digestiva Alta en un Hospital de Lima- Perú Jorge Espinoza, Rev. </w:t>
      </w:r>
      <w:proofErr w:type="spellStart"/>
      <w:r w:rsidRPr="007D7E60">
        <w:rPr>
          <w:lang w:val="es-SV"/>
        </w:rPr>
        <w:t>Gastroenterol</w:t>
      </w:r>
      <w:proofErr w:type="spellEnd"/>
      <w:r w:rsidRPr="007D7E60">
        <w:rPr>
          <w:lang w:val="es-SV"/>
        </w:rPr>
        <w:t>. Perú; 2009; 29-2: 111-117</w:t>
      </w:r>
    </w:p>
    <w:p w:rsidR="000071D8" w:rsidRPr="007D7E60" w:rsidRDefault="000071D8" w:rsidP="002410CE">
      <w:pPr>
        <w:ind w:left="0"/>
        <w:rPr>
          <w:lang w:val="es-SV"/>
        </w:rPr>
      </w:pPr>
    </w:p>
    <w:p w:rsidR="000071D8" w:rsidRPr="007D7E60" w:rsidRDefault="00A25A7F" w:rsidP="00A25A7F">
      <w:pPr>
        <w:ind w:left="0"/>
        <w:rPr>
          <w:lang w:val="es-SV"/>
        </w:rPr>
      </w:pPr>
      <w:r w:rsidRPr="007D7E60">
        <w:rPr>
          <w:lang w:val="es-SV"/>
        </w:rPr>
        <w:t>25 Gómez Zuleta et al, Escala "UNAL" de predicción para identificar pacientes con hemorragia digestiva alta que necesitan endoscopia urgente Acta Médica Colombiana, vol. 31, núm. 4, octubre-diciembre, 2006, pp. 389-399 Asociación Colombiana de Medicina Interna Colombia</w:t>
      </w:r>
    </w:p>
    <w:p w:rsidR="000071D8" w:rsidRPr="007D7E60" w:rsidRDefault="000071D8" w:rsidP="002410CE">
      <w:pPr>
        <w:ind w:left="0"/>
        <w:rPr>
          <w:lang w:val="es-SV"/>
        </w:rPr>
      </w:pPr>
    </w:p>
    <w:p w:rsidR="000071D8" w:rsidRPr="007D7E60" w:rsidRDefault="00B3602D" w:rsidP="002410CE">
      <w:pPr>
        <w:ind w:left="0"/>
        <w:rPr>
          <w:lang w:val="es-SV"/>
        </w:rPr>
      </w:pPr>
      <w:r w:rsidRPr="007D7E60">
        <w:rPr>
          <w:lang w:val="es-SV"/>
        </w:rPr>
        <w:t>26. datos epidemiológicos obtenidos en el departamento de Epidemiologia de los Hospitales Médico Quirúrgico y General del ISSS, año 2009 a la fecha.</w:t>
      </w:r>
    </w:p>
    <w:p w:rsidR="000071D8" w:rsidRPr="007D7E60" w:rsidRDefault="000071D8" w:rsidP="002410CE">
      <w:pPr>
        <w:ind w:left="0"/>
        <w:rPr>
          <w:lang w:val="es-SV"/>
        </w:rPr>
      </w:pPr>
    </w:p>
    <w:p w:rsidR="000071D8" w:rsidRPr="000F7B04" w:rsidRDefault="000071D8" w:rsidP="002410CE">
      <w:pPr>
        <w:ind w:left="0"/>
        <w:rPr>
          <w:b/>
          <w:lang w:val="es-SV"/>
        </w:rPr>
      </w:pPr>
    </w:p>
    <w:p w:rsidR="003B4867" w:rsidRPr="000F7B04" w:rsidRDefault="003B4867" w:rsidP="002410CE">
      <w:pPr>
        <w:ind w:left="0"/>
        <w:jc w:val="center"/>
        <w:rPr>
          <w:b/>
          <w:sz w:val="44"/>
          <w:szCs w:val="44"/>
          <w:lang w:val="es-SV"/>
        </w:rPr>
      </w:pPr>
    </w:p>
    <w:p w:rsidR="003B4867" w:rsidRDefault="003B4867"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Default="00502DD6" w:rsidP="002410CE">
      <w:pPr>
        <w:ind w:left="0"/>
        <w:jc w:val="center"/>
        <w:rPr>
          <w:b/>
          <w:sz w:val="44"/>
          <w:szCs w:val="44"/>
          <w:lang w:val="es-SV"/>
        </w:rPr>
      </w:pPr>
    </w:p>
    <w:p w:rsidR="00502DD6" w:rsidRPr="000F7B04" w:rsidRDefault="00502DD6" w:rsidP="002410CE">
      <w:pPr>
        <w:ind w:left="0"/>
        <w:jc w:val="center"/>
        <w:rPr>
          <w:b/>
          <w:sz w:val="44"/>
          <w:szCs w:val="44"/>
          <w:lang w:val="es-SV"/>
        </w:rPr>
      </w:pPr>
    </w:p>
    <w:p w:rsidR="003B4867" w:rsidRPr="000F7B04" w:rsidRDefault="003B4867" w:rsidP="002410CE">
      <w:pPr>
        <w:ind w:left="0"/>
        <w:jc w:val="center"/>
        <w:rPr>
          <w:b/>
          <w:sz w:val="44"/>
          <w:szCs w:val="44"/>
          <w:lang w:val="es-SV"/>
        </w:rPr>
      </w:pPr>
    </w:p>
    <w:p w:rsidR="00502DD6" w:rsidRPr="000F7B04" w:rsidRDefault="00502DD6" w:rsidP="002410CE">
      <w:pPr>
        <w:ind w:left="0"/>
        <w:jc w:val="center"/>
        <w:rPr>
          <w:b/>
          <w:sz w:val="44"/>
          <w:szCs w:val="44"/>
          <w:lang w:val="es-SV"/>
        </w:rPr>
      </w:pPr>
    </w:p>
    <w:p w:rsidR="00C7613C" w:rsidRPr="000F7B04" w:rsidRDefault="00F664A1" w:rsidP="002410CE">
      <w:pPr>
        <w:ind w:left="0"/>
        <w:jc w:val="center"/>
        <w:rPr>
          <w:b/>
          <w:sz w:val="44"/>
          <w:szCs w:val="44"/>
          <w:lang w:val="es-SV"/>
        </w:rPr>
      </w:pPr>
      <w:r w:rsidRPr="000F7B04">
        <w:rPr>
          <w:b/>
          <w:sz w:val="44"/>
          <w:szCs w:val="44"/>
          <w:lang w:val="es-SV"/>
        </w:rPr>
        <w:t>1</w:t>
      </w:r>
      <w:r w:rsidR="00B7593F">
        <w:rPr>
          <w:b/>
          <w:sz w:val="44"/>
          <w:szCs w:val="44"/>
          <w:lang w:val="es-SV"/>
        </w:rPr>
        <w:t>2</w:t>
      </w:r>
      <w:r w:rsidR="00A5286C" w:rsidRPr="000F7B04">
        <w:rPr>
          <w:b/>
          <w:sz w:val="44"/>
          <w:szCs w:val="44"/>
          <w:lang w:val="es-SV"/>
        </w:rPr>
        <w:t xml:space="preserve">. </w:t>
      </w:r>
      <w:r w:rsidR="00C7613C" w:rsidRPr="000F7B04">
        <w:rPr>
          <w:b/>
          <w:sz w:val="44"/>
          <w:szCs w:val="44"/>
          <w:lang w:val="es-SV"/>
        </w:rPr>
        <w:t>ANEXOS</w:t>
      </w:r>
    </w:p>
    <w:p w:rsidR="00F02F13" w:rsidRPr="000F7B04" w:rsidRDefault="00F02F13" w:rsidP="002410CE">
      <w:pPr>
        <w:ind w:left="0"/>
        <w:rPr>
          <w:lang w:val="es-SV"/>
        </w:rPr>
      </w:pPr>
    </w:p>
    <w:p w:rsidR="00842E9D" w:rsidRPr="000F7B04" w:rsidRDefault="00842E9D" w:rsidP="002410CE">
      <w:pPr>
        <w:ind w:left="0"/>
        <w:rPr>
          <w:lang w:val="es-SV"/>
        </w:rPr>
      </w:pPr>
    </w:p>
    <w:p w:rsidR="00842E9D" w:rsidRPr="000F7B04" w:rsidRDefault="00842E9D" w:rsidP="002410CE">
      <w:pPr>
        <w:ind w:left="0"/>
        <w:rPr>
          <w:lang w:val="es-SV"/>
        </w:rPr>
      </w:pPr>
    </w:p>
    <w:p w:rsidR="00842E9D" w:rsidRPr="000F7B04" w:rsidRDefault="00842E9D" w:rsidP="002410CE">
      <w:pPr>
        <w:ind w:left="0"/>
        <w:rPr>
          <w:lang w:val="es-SV"/>
        </w:rPr>
      </w:pPr>
    </w:p>
    <w:p w:rsidR="00842E9D" w:rsidRPr="000F7B04" w:rsidRDefault="00842E9D" w:rsidP="002410CE">
      <w:pPr>
        <w:ind w:left="0"/>
        <w:rPr>
          <w:lang w:val="es-SV"/>
        </w:rPr>
      </w:pPr>
    </w:p>
    <w:p w:rsidR="00842E9D" w:rsidRDefault="00842E9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Default="00B3602D" w:rsidP="002410CE">
      <w:pPr>
        <w:ind w:left="0"/>
        <w:rPr>
          <w:lang w:val="es-SV"/>
        </w:rPr>
      </w:pPr>
    </w:p>
    <w:p w:rsidR="00B3602D" w:rsidRPr="000F7B04" w:rsidRDefault="00B3602D" w:rsidP="002410CE">
      <w:pPr>
        <w:ind w:left="0"/>
        <w:rPr>
          <w:lang w:val="es-SV"/>
        </w:rPr>
      </w:pPr>
    </w:p>
    <w:p w:rsidR="00842E9D" w:rsidRPr="000F7B04" w:rsidRDefault="00842E9D" w:rsidP="002410CE">
      <w:pPr>
        <w:ind w:left="0"/>
        <w:rPr>
          <w:lang w:val="es-SV"/>
        </w:rPr>
      </w:pPr>
    </w:p>
    <w:p w:rsidR="00842E9D" w:rsidRPr="000F7B04" w:rsidRDefault="00842E9D" w:rsidP="002410CE">
      <w:pPr>
        <w:ind w:left="0"/>
        <w:rPr>
          <w:lang w:val="es-SV"/>
        </w:rPr>
      </w:pPr>
    </w:p>
    <w:p w:rsidR="00BF6702" w:rsidRPr="000F7B04" w:rsidRDefault="00BF6702" w:rsidP="002410CE">
      <w:pPr>
        <w:ind w:left="0"/>
        <w:rPr>
          <w:lang w:val="es-SV"/>
        </w:rPr>
      </w:pPr>
    </w:p>
    <w:p w:rsidR="003B4867" w:rsidRPr="000F7B04" w:rsidRDefault="003B4867" w:rsidP="002410CE">
      <w:pPr>
        <w:ind w:left="0"/>
        <w:rPr>
          <w:lang w:val="es-SV"/>
        </w:rPr>
      </w:pPr>
    </w:p>
    <w:p w:rsidR="003B4867" w:rsidRDefault="003B4867" w:rsidP="002410CE">
      <w:pPr>
        <w:ind w:left="0"/>
        <w:rPr>
          <w:lang w:val="es-SV"/>
        </w:rPr>
      </w:pPr>
    </w:p>
    <w:p w:rsidR="008670D7" w:rsidRDefault="008670D7" w:rsidP="002410CE">
      <w:pPr>
        <w:ind w:left="0"/>
        <w:rPr>
          <w:lang w:val="es-SV"/>
        </w:rPr>
      </w:pPr>
    </w:p>
    <w:p w:rsidR="008670D7" w:rsidRDefault="008670D7" w:rsidP="002410CE">
      <w:pPr>
        <w:ind w:left="0"/>
        <w:rPr>
          <w:lang w:val="es-SV"/>
        </w:rPr>
      </w:pPr>
    </w:p>
    <w:p w:rsidR="00502DD6" w:rsidRDefault="00502DD6" w:rsidP="002410CE">
      <w:pPr>
        <w:ind w:left="0"/>
        <w:rPr>
          <w:lang w:val="es-SV"/>
        </w:rPr>
      </w:pPr>
    </w:p>
    <w:p w:rsidR="00502DD6" w:rsidRDefault="00502DD6" w:rsidP="002410CE">
      <w:pPr>
        <w:ind w:left="0"/>
        <w:rPr>
          <w:lang w:val="es-SV"/>
        </w:rPr>
      </w:pPr>
    </w:p>
    <w:p w:rsidR="00502DD6" w:rsidRDefault="00502DD6" w:rsidP="002410CE">
      <w:pPr>
        <w:ind w:left="0"/>
        <w:rPr>
          <w:lang w:val="es-SV"/>
        </w:rPr>
      </w:pPr>
    </w:p>
    <w:p w:rsidR="00502DD6" w:rsidRDefault="00502DD6" w:rsidP="002410CE">
      <w:pPr>
        <w:ind w:left="0"/>
        <w:rPr>
          <w:lang w:val="es-SV"/>
        </w:rPr>
      </w:pPr>
    </w:p>
    <w:p w:rsidR="00502DD6" w:rsidRDefault="00502DD6" w:rsidP="002410CE">
      <w:pPr>
        <w:ind w:left="0"/>
        <w:rPr>
          <w:lang w:val="es-SV"/>
        </w:rPr>
      </w:pPr>
    </w:p>
    <w:p w:rsidR="00502DD6" w:rsidRDefault="00502DD6" w:rsidP="00502DD6">
      <w:pPr>
        <w:ind w:left="0"/>
        <w:jc w:val="center"/>
        <w:rPr>
          <w:b/>
        </w:rPr>
      </w:pPr>
      <w:r w:rsidRPr="00502DD6">
        <w:rPr>
          <w:b/>
        </w:rPr>
        <w:lastRenderedPageBreak/>
        <w:t>La Encuesta</w:t>
      </w:r>
    </w:p>
    <w:p w:rsidR="00A10CA7" w:rsidRPr="00502DD6" w:rsidRDefault="00A10CA7" w:rsidP="00502DD6">
      <w:pPr>
        <w:ind w:left="0"/>
        <w:jc w:val="center"/>
        <w:rPr>
          <w:b/>
        </w:rPr>
      </w:pPr>
    </w:p>
    <w:p w:rsidR="00502DD6" w:rsidRPr="00502DD6" w:rsidRDefault="00502DD6" w:rsidP="00A10CA7">
      <w:pPr>
        <w:ind w:left="0"/>
        <w:jc w:val="center"/>
      </w:pPr>
      <w:r w:rsidRPr="00502DD6">
        <w:t>"</w:t>
      </w:r>
      <w:r w:rsidR="00A10CA7" w:rsidRPr="00A10CA7">
        <w:t>Aplicación de la escala “UNAL” de predicción en pacientes con hemorragia digestiva alta para establecer endoscopia temprana, que consultaron en los Hospitales General y Médico Quirúrgico del Instituto Salvadoreño del Seguro Social</w:t>
      </w:r>
      <w:r w:rsidRPr="00502DD6">
        <w:t>.”</w:t>
      </w:r>
    </w:p>
    <w:p w:rsidR="00502DD6" w:rsidRPr="00502DD6" w:rsidRDefault="00502DD6" w:rsidP="00502DD6">
      <w:pPr>
        <w:ind w:left="0"/>
      </w:pPr>
    </w:p>
    <w:p w:rsidR="00502DD6" w:rsidRPr="00502DD6" w:rsidRDefault="00502DD6" w:rsidP="00502DD6">
      <w:pPr>
        <w:ind w:left="0"/>
      </w:pPr>
      <w:r w:rsidRPr="00502DD6">
        <w:rPr>
          <w:b/>
        </w:rPr>
        <w:t xml:space="preserve">Objetivo: </w:t>
      </w:r>
      <w:r w:rsidRPr="00502DD6">
        <w:t xml:space="preserve">determinar </w:t>
      </w:r>
      <w:r w:rsidR="00A10CA7">
        <w:t>los parámetros clínicos y de laboratorio que se involucran en la formulación de la escala UNAL</w:t>
      </w:r>
      <w:r w:rsidRPr="00502DD6">
        <w:t xml:space="preserve">, en la población en estudio para relacionarlos con la </w:t>
      </w:r>
      <w:r w:rsidR="00A10CA7">
        <w:t>alta discriminación de sangrados activos</w:t>
      </w:r>
      <w:r w:rsidR="00F6229B">
        <w:t xml:space="preserve"> así como</w:t>
      </w:r>
      <w:r w:rsidR="00A10CA7">
        <w:t xml:space="preserve"> las enfermedades asociadas </w:t>
      </w:r>
      <w:r w:rsidRPr="00502DD6">
        <w:t>dicha población</w:t>
      </w:r>
    </w:p>
    <w:p w:rsidR="00502DD6" w:rsidRPr="00502DD6" w:rsidRDefault="00502DD6" w:rsidP="00502DD6">
      <w:pPr>
        <w:ind w:left="0"/>
      </w:pPr>
    </w:p>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 xml:space="preserve">Fecha:    ________________________________________ </w:t>
      </w:r>
    </w:p>
    <w:p w:rsidR="00502DD6" w:rsidRPr="00502DD6" w:rsidRDefault="00502DD6" w:rsidP="00502DD6">
      <w:pPr>
        <w:ind w:left="0"/>
        <w:jc w:val="left"/>
        <w:rPr>
          <w:rFonts w:ascii="Times New Roman" w:hAnsi="Times New Roman" w:cs="Times New Roman"/>
        </w:rPr>
      </w:pPr>
    </w:p>
    <w:p w:rsidR="00502DD6" w:rsidRPr="00502DD6" w:rsidRDefault="00A10CA7" w:rsidP="00502DD6">
      <w:pPr>
        <w:ind w:left="0"/>
        <w:jc w:val="left"/>
        <w:rPr>
          <w:rFonts w:ascii="Times New Roman" w:hAnsi="Times New Roman" w:cs="Times New Roman"/>
        </w:rPr>
      </w:pPr>
      <w:r>
        <w:rPr>
          <w:rFonts w:ascii="Times New Roman" w:hAnsi="Times New Roman" w:cs="Times New Roman"/>
        </w:rPr>
        <w:t>Módulo</w:t>
      </w:r>
      <w:r w:rsidR="00502DD6">
        <w:rPr>
          <w:rFonts w:ascii="Times New Roman" w:hAnsi="Times New Roman" w:cs="Times New Roman"/>
        </w:rPr>
        <w:t xml:space="preserve"> de </w:t>
      </w:r>
      <w:proofErr w:type="spellStart"/>
      <w:r w:rsidR="00502DD6">
        <w:rPr>
          <w:rFonts w:ascii="Times New Roman" w:hAnsi="Times New Roman" w:cs="Times New Roman"/>
        </w:rPr>
        <w:t>Gastroenterologia</w:t>
      </w:r>
      <w:proofErr w:type="spellEnd"/>
      <w:r w:rsidR="00502DD6" w:rsidRPr="00502DD6">
        <w:rPr>
          <w:rFonts w:ascii="Times New Roman" w:hAnsi="Times New Roman" w:cs="Times New Roman"/>
        </w:rPr>
        <w:t xml:space="preserve">:   _________________________________   </w:t>
      </w:r>
    </w:p>
    <w:p w:rsidR="00502DD6" w:rsidRPr="00502DD6" w:rsidRDefault="00502DD6" w:rsidP="00502DD6">
      <w:pPr>
        <w:ind w:left="0"/>
        <w:jc w:val="left"/>
        <w:rPr>
          <w:rFonts w:ascii="Times New Roman" w:hAnsi="Times New Roman" w:cs="Times New Roman"/>
        </w:rPr>
      </w:pPr>
    </w:p>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1. Datos generales</w:t>
      </w:r>
    </w:p>
    <w:p w:rsidR="00502DD6" w:rsidRPr="00502DD6" w:rsidRDefault="00502DD6" w:rsidP="00502DD6">
      <w:pPr>
        <w:ind w:left="0"/>
        <w:jc w:val="lef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0"/>
        <w:gridCol w:w="2090"/>
        <w:gridCol w:w="784"/>
      </w:tblGrid>
      <w:tr w:rsidR="00502DD6" w:rsidRPr="00502DD6" w:rsidTr="00E23E08">
        <w:trPr>
          <w:trHeight w:val="301"/>
        </w:trPr>
        <w:tc>
          <w:tcPr>
            <w:tcW w:w="4180" w:type="dxa"/>
            <w:tcBorders>
              <w:top w:val="thinThickThinSmallGap" w:sz="24" w:space="0" w:color="auto"/>
              <w:left w:val="thinThickThinSmallGap" w:sz="24" w:space="0" w:color="auto"/>
            </w:tcBorders>
          </w:tcPr>
          <w:p w:rsidR="00502DD6" w:rsidRPr="00502DD6" w:rsidRDefault="00502DD6" w:rsidP="00502DD6">
            <w:pPr>
              <w:numPr>
                <w:ilvl w:val="1"/>
                <w:numId w:val="3"/>
              </w:numPr>
              <w:jc w:val="left"/>
              <w:rPr>
                <w:rFonts w:ascii="Times New Roman" w:hAnsi="Times New Roman" w:cs="Times New Roman"/>
              </w:rPr>
            </w:pPr>
            <w:r w:rsidRPr="00502DD6">
              <w:rPr>
                <w:rFonts w:ascii="Times New Roman" w:hAnsi="Times New Roman" w:cs="Times New Roman"/>
              </w:rPr>
              <w:t>Nombre:</w:t>
            </w:r>
          </w:p>
          <w:p w:rsidR="00502DD6" w:rsidRPr="00502DD6" w:rsidRDefault="00502DD6" w:rsidP="00502DD6">
            <w:pPr>
              <w:ind w:left="0"/>
              <w:jc w:val="left"/>
              <w:rPr>
                <w:rFonts w:ascii="Times New Roman" w:hAnsi="Times New Roman" w:cs="Times New Roman"/>
              </w:rPr>
            </w:pPr>
          </w:p>
        </w:tc>
        <w:tc>
          <w:tcPr>
            <w:tcW w:w="2874" w:type="dxa"/>
            <w:gridSpan w:val="2"/>
            <w:tcBorders>
              <w:top w:val="thinThickThinSmallGap" w:sz="24" w:space="0" w:color="auto"/>
              <w:right w:val="thinThickThinSmallGap" w:sz="24" w:space="0" w:color="auto"/>
            </w:tcBorders>
          </w:tcPr>
          <w:p w:rsidR="00502DD6" w:rsidRPr="00502DD6" w:rsidRDefault="00502DD6" w:rsidP="00502DD6">
            <w:pPr>
              <w:ind w:left="0"/>
              <w:jc w:val="left"/>
              <w:rPr>
                <w:rFonts w:ascii="Times New Roman" w:hAnsi="Times New Roman" w:cs="Times New Roman"/>
              </w:rPr>
            </w:pPr>
          </w:p>
        </w:tc>
      </w:tr>
      <w:tr w:rsidR="00502DD6" w:rsidRPr="00502DD6" w:rsidTr="00E23E08">
        <w:trPr>
          <w:trHeight w:val="278"/>
        </w:trPr>
        <w:tc>
          <w:tcPr>
            <w:tcW w:w="4180" w:type="dxa"/>
            <w:vMerge w:val="restart"/>
            <w:tcBorders>
              <w:left w:val="thinThickThinSmallGap" w:sz="24" w:space="0" w:color="auto"/>
            </w:tcBorders>
          </w:tcPr>
          <w:p w:rsidR="00502DD6" w:rsidRPr="00502DD6" w:rsidRDefault="00502DD6" w:rsidP="00502DD6">
            <w:pPr>
              <w:numPr>
                <w:ilvl w:val="1"/>
                <w:numId w:val="3"/>
              </w:numPr>
              <w:jc w:val="left"/>
              <w:rPr>
                <w:rFonts w:ascii="Times New Roman" w:hAnsi="Times New Roman" w:cs="Times New Roman"/>
              </w:rPr>
            </w:pPr>
            <w:r w:rsidRPr="00502DD6">
              <w:rPr>
                <w:rFonts w:ascii="Times New Roman" w:hAnsi="Times New Roman" w:cs="Times New Roman"/>
              </w:rPr>
              <w:t>Sexo:</w:t>
            </w:r>
          </w:p>
          <w:p w:rsidR="00502DD6" w:rsidRPr="00502DD6" w:rsidRDefault="00502DD6" w:rsidP="00502DD6">
            <w:pPr>
              <w:ind w:left="0"/>
              <w:jc w:val="left"/>
              <w:rPr>
                <w:rFonts w:ascii="Times New Roman" w:hAnsi="Times New Roman" w:cs="Times New Roman"/>
              </w:rPr>
            </w:pPr>
          </w:p>
        </w:tc>
        <w:tc>
          <w:tcPr>
            <w:tcW w:w="2090" w:type="dxa"/>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Masculino</w:t>
            </w:r>
          </w:p>
        </w:tc>
        <w:tc>
          <w:tcPr>
            <w:tcW w:w="784" w:type="dxa"/>
            <w:tcBorders>
              <w:right w:val="thinThickThinSmallGap" w:sz="24" w:space="0" w:color="auto"/>
            </w:tcBorders>
          </w:tcPr>
          <w:p w:rsidR="00502DD6" w:rsidRPr="00502DD6" w:rsidRDefault="00502DD6" w:rsidP="00502DD6">
            <w:pPr>
              <w:ind w:left="0"/>
              <w:jc w:val="left"/>
              <w:rPr>
                <w:rFonts w:ascii="Times New Roman" w:hAnsi="Times New Roman" w:cs="Times New Roman"/>
              </w:rPr>
            </w:pPr>
          </w:p>
        </w:tc>
      </w:tr>
      <w:tr w:rsidR="00502DD6" w:rsidRPr="00502DD6" w:rsidTr="00E23E08">
        <w:trPr>
          <w:trHeight w:val="277"/>
        </w:trPr>
        <w:tc>
          <w:tcPr>
            <w:tcW w:w="4180" w:type="dxa"/>
            <w:vMerge/>
            <w:tcBorders>
              <w:left w:val="thinThickThinSmallGap" w:sz="24" w:space="0" w:color="auto"/>
            </w:tcBorders>
          </w:tcPr>
          <w:p w:rsidR="00502DD6" w:rsidRPr="00502DD6" w:rsidRDefault="00502DD6" w:rsidP="00502DD6">
            <w:pPr>
              <w:numPr>
                <w:ilvl w:val="1"/>
                <w:numId w:val="3"/>
              </w:numPr>
              <w:jc w:val="left"/>
              <w:rPr>
                <w:rFonts w:ascii="Times New Roman" w:hAnsi="Times New Roman" w:cs="Times New Roman"/>
              </w:rPr>
            </w:pPr>
          </w:p>
        </w:tc>
        <w:tc>
          <w:tcPr>
            <w:tcW w:w="2090" w:type="dxa"/>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Femenino</w:t>
            </w:r>
          </w:p>
        </w:tc>
        <w:tc>
          <w:tcPr>
            <w:tcW w:w="784" w:type="dxa"/>
            <w:tcBorders>
              <w:right w:val="thinThickThinSmallGap" w:sz="24" w:space="0" w:color="auto"/>
            </w:tcBorders>
          </w:tcPr>
          <w:p w:rsidR="00502DD6" w:rsidRPr="00502DD6" w:rsidRDefault="00502DD6" w:rsidP="00502DD6">
            <w:pPr>
              <w:ind w:left="0"/>
              <w:jc w:val="left"/>
              <w:rPr>
                <w:rFonts w:ascii="Times New Roman" w:hAnsi="Times New Roman" w:cs="Times New Roman"/>
              </w:rPr>
            </w:pPr>
          </w:p>
        </w:tc>
      </w:tr>
      <w:tr w:rsidR="00502DD6" w:rsidRPr="00502DD6" w:rsidTr="00E23E08">
        <w:trPr>
          <w:trHeight w:val="429"/>
        </w:trPr>
        <w:tc>
          <w:tcPr>
            <w:tcW w:w="4180" w:type="dxa"/>
            <w:tcBorders>
              <w:left w:val="thinThickThinSmallGap" w:sz="24" w:space="0" w:color="auto"/>
            </w:tcBorders>
          </w:tcPr>
          <w:p w:rsidR="00502DD6" w:rsidRPr="00502DD6" w:rsidRDefault="00502DD6" w:rsidP="00502DD6">
            <w:pPr>
              <w:numPr>
                <w:ilvl w:val="1"/>
                <w:numId w:val="3"/>
              </w:numPr>
              <w:jc w:val="left"/>
              <w:rPr>
                <w:rFonts w:ascii="Times New Roman" w:hAnsi="Times New Roman" w:cs="Times New Roman"/>
              </w:rPr>
            </w:pPr>
            <w:r w:rsidRPr="00502DD6">
              <w:rPr>
                <w:rFonts w:ascii="Times New Roman" w:hAnsi="Times New Roman" w:cs="Times New Roman"/>
              </w:rPr>
              <w:t>Edad:</w:t>
            </w:r>
          </w:p>
          <w:p w:rsidR="00502DD6" w:rsidRPr="00502DD6" w:rsidRDefault="00502DD6" w:rsidP="00502DD6">
            <w:pPr>
              <w:ind w:left="0"/>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502DD6" w:rsidP="00502DD6">
            <w:pPr>
              <w:ind w:left="0"/>
              <w:jc w:val="left"/>
              <w:rPr>
                <w:rFonts w:ascii="Times New Roman" w:hAnsi="Times New Roman" w:cs="Times New Roman"/>
              </w:rPr>
            </w:pPr>
          </w:p>
        </w:tc>
      </w:tr>
      <w:tr w:rsidR="00502DD6" w:rsidRPr="00502DD6" w:rsidTr="00E23E08">
        <w:trPr>
          <w:trHeight w:val="437"/>
        </w:trPr>
        <w:tc>
          <w:tcPr>
            <w:tcW w:w="4180" w:type="dxa"/>
            <w:tcBorders>
              <w:left w:val="thinThickThinSmallGap" w:sz="24" w:space="0" w:color="auto"/>
            </w:tcBorders>
          </w:tcPr>
          <w:p w:rsidR="00502DD6" w:rsidRPr="00502DD6" w:rsidRDefault="00E23E08" w:rsidP="00502DD6">
            <w:pPr>
              <w:numPr>
                <w:ilvl w:val="1"/>
                <w:numId w:val="3"/>
              </w:numPr>
              <w:jc w:val="left"/>
              <w:rPr>
                <w:rFonts w:ascii="Times New Roman" w:hAnsi="Times New Roman" w:cs="Times New Roman"/>
              </w:rPr>
            </w:pPr>
            <w:r>
              <w:rPr>
                <w:rFonts w:ascii="Times New Roman" w:hAnsi="Times New Roman" w:cs="Times New Roman"/>
              </w:rPr>
              <w:t>Registro</w:t>
            </w:r>
            <w:r w:rsidR="00502DD6" w:rsidRPr="00502DD6">
              <w:rPr>
                <w:rFonts w:ascii="Times New Roman" w:hAnsi="Times New Roman" w:cs="Times New Roman"/>
              </w:rPr>
              <w:t>:</w:t>
            </w:r>
          </w:p>
          <w:p w:rsidR="00502DD6" w:rsidRPr="00502DD6" w:rsidRDefault="00502DD6" w:rsidP="00502DD6">
            <w:pPr>
              <w:ind w:left="57"/>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502DD6" w:rsidP="00502DD6">
            <w:pPr>
              <w:ind w:left="0"/>
              <w:jc w:val="left"/>
              <w:rPr>
                <w:rFonts w:ascii="Times New Roman" w:hAnsi="Times New Roman" w:cs="Times New Roman"/>
              </w:rPr>
            </w:pPr>
          </w:p>
        </w:tc>
      </w:tr>
      <w:tr w:rsidR="00502DD6" w:rsidRPr="00502DD6" w:rsidTr="00E23E08">
        <w:tc>
          <w:tcPr>
            <w:tcW w:w="4180" w:type="dxa"/>
            <w:vMerge w:val="restart"/>
            <w:tcBorders>
              <w:left w:val="thinThickThinSmallGap" w:sz="24" w:space="0" w:color="auto"/>
            </w:tcBorders>
          </w:tcPr>
          <w:p w:rsidR="00502DD6" w:rsidRPr="00502DD6" w:rsidRDefault="00502DD6" w:rsidP="00502DD6">
            <w:pPr>
              <w:ind w:left="0"/>
              <w:jc w:val="center"/>
              <w:rPr>
                <w:rFonts w:ascii="Times New Roman" w:hAnsi="Times New Roman" w:cs="Times New Roman"/>
              </w:rPr>
            </w:pPr>
          </w:p>
          <w:p w:rsidR="00502DD6" w:rsidRPr="00502DD6" w:rsidRDefault="00502DD6" w:rsidP="00502DD6">
            <w:pPr>
              <w:ind w:left="0"/>
              <w:jc w:val="center"/>
              <w:rPr>
                <w:rFonts w:ascii="Times New Roman" w:hAnsi="Times New Roman" w:cs="Times New Roman"/>
              </w:rPr>
            </w:pPr>
          </w:p>
          <w:p w:rsidR="00502DD6" w:rsidRPr="00502DD6" w:rsidRDefault="00502DD6" w:rsidP="00E23E08">
            <w:pPr>
              <w:ind w:left="0"/>
              <w:rPr>
                <w:rFonts w:ascii="Times New Roman" w:hAnsi="Times New Roman" w:cs="Times New Roman"/>
              </w:rPr>
            </w:pPr>
            <w:r w:rsidRPr="00502DD6">
              <w:rPr>
                <w:rFonts w:ascii="Times New Roman" w:hAnsi="Times New Roman" w:cs="Times New Roman"/>
              </w:rPr>
              <w:t>7. Nivel educativo</w:t>
            </w:r>
          </w:p>
        </w:tc>
        <w:tc>
          <w:tcPr>
            <w:tcW w:w="2874" w:type="dxa"/>
            <w:gridSpan w:val="2"/>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Analfabeta</w:t>
            </w:r>
          </w:p>
        </w:tc>
      </w:tr>
      <w:tr w:rsidR="00502DD6" w:rsidRPr="00502DD6" w:rsidTr="00E23E08">
        <w:tc>
          <w:tcPr>
            <w:tcW w:w="4180"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Sabe leer y escribir</w:t>
            </w:r>
          </w:p>
        </w:tc>
      </w:tr>
      <w:tr w:rsidR="00502DD6" w:rsidRPr="00502DD6" w:rsidTr="00E23E08">
        <w:tc>
          <w:tcPr>
            <w:tcW w:w="4180"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Primaria</w:t>
            </w:r>
          </w:p>
        </w:tc>
      </w:tr>
      <w:tr w:rsidR="00502DD6" w:rsidRPr="00502DD6" w:rsidTr="00E23E08">
        <w:tc>
          <w:tcPr>
            <w:tcW w:w="4180"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Secundaria</w:t>
            </w:r>
          </w:p>
        </w:tc>
      </w:tr>
      <w:tr w:rsidR="00502DD6" w:rsidRPr="00502DD6" w:rsidTr="00E23E08">
        <w:tc>
          <w:tcPr>
            <w:tcW w:w="4180"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Educación superior</w:t>
            </w:r>
          </w:p>
        </w:tc>
      </w:tr>
      <w:tr w:rsidR="00502DD6" w:rsidRPr="00502DD6" w:rsidTr="00E23E08">
        <w:tc>
          <w:tcPr>
            <w:tcW w:w="4180" w:type="dxa"/>
            <w:vMerge w:val="restart"/>
            <w:tcBorders>
              <w:left w:val="thinThickThinSmallGap" w:sz="24" w:space="0" w:color="auto"/>
            </w:tcBorders>
          </w:tcPr>
          <w:p w:rsidR="00502DD6" w:rsidRPr="00502DD6" w:rsidRDefault="00502DD6" w:rsidP="00502DD6">
            <w:pPr>
              <w:ind w:left="0"/>
              <w:jc w:val="left"/>
              <w:rPr>
                <w:rFonts w:ascii="Times New Roman" w:hAnsi="Times New Roman" w:cs="Times New Roman"/>
              </w:rPr>
            </w:pPr>
          </w:p>
          <w:p w:rsidR="00502DD6" w:rsidRPr="00502DD6" w:rsidRDefault="00502DD6" w:rsidP="00E23E08">
            <w:pPr>
              <w:ind w:left="0"/>
              <w:rPr>
                <w:rFonts w:ascii="Times New Roman" w:hAnsi="Times New Roman" w:cs="Times New Roman"/>
              </w:rPr>
            </w:pPr>
            <w:r w:rsidRPr="00502DD6">
              <w:rPr>
                <w:rFonts w:ascii="Times New Roman" w:hAnsi="Times New Roman" w:cs="Times New Roman"/>
              </w:rPr>
              <w:t>8. Ocupación</w:t>
            </w:r>
          </w:p>
        </w:tc>
        <w:tc>
          <w:tcPr>
            <w:tcW w:w="2874" w:type="dxa"/>
            <w:gridSpan w:val="2"/>
            <w:tcBorders>
              <w:right w:val="thinThickThinSmallGap" w:sz="24" w:space="0" w:color="auto"/>
            </w:tcBorders>
          </w:tcPr>
          <w:p w:rsidR="00502DD6" w:rsidRPr="00502DD6" w:rsidRDefault="00A10CA7" w:rsidP="00502DD6">
            <w:pPr>
              <w:ind w:left="0"/>
              <w:jc w:val="left"/>
              <w:rPr>
                <w:rFonts w:ascii="Times New Roman" w:hAnsi="Times New Roman" w:cs="Times New Roman"/>
              </w:rPr>
            </w:pPr>
            <w:r>
              <w:rPr>
                <w:rFonts w:ascii="Times New Roman" w:hAnsi="Times New Roman" w:cs="Times New Roman"/>
              </w:rPr>
              <w:t>Jubilado</w:t>
            </w:r>
          </w:p>
        </w:tc>
      </w:tr>
      <w:tr w:rsidR="00502DD6" w:rsidRPr="00502DD6" w:rsidTr="00E23E08">
        <w:trPr>
          <w:trHeight w:val="165"/>
        </w:trPr>
        <w:tc>
          <w:tcPr>
            <w:tcW w:w="4180"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A10CA7" w:rsidP="00502DD6">
            <w:pPr>
              <w:ind w:left="0"/>
              <w:jc w:val="left"/>
              <w:rPr>
                <w:rFonts w:ascii="Times New Roman" w:hAnsi="Times New Roman" w:cs="Times New Roman"/>
              </w:rPr>
            </w:pPr>
            <w:r>
              <w:rPr>
                <w:rFonts w:ascii="Times New Roman" w:hAnsi="Times New Roman" w:cs="Times New Roman"/>
              </w:rPr>
              <w:t>Empleado</w:t>
            </w:r>
          </w:p>
        </w:tc>
      </w:tr>
      <w:tr w:rsidR="00502DD6" w:rsidRPr="00502DD6" w:rsidTr="00E23E08">
        <w:trPr>
          <w:trHeight w:val="237"/>
        </w:trPr>
        <w:tc>
          <w:tcPr>
            <w:tcW w:w="4180"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2874" w:type="dxa"/>
            <w:gridSpan w:val="2"/>
            <w:tcBorders>
              <w:right w:val="thinThickThinSmallGap" w:sz="24" w:space="0" w:color="auto"/>
            </w:tcBorders>
          </w:tcPr>
          <w:p w:rsidR="00502DD6" w:rsidRPr="00502DD6" w:rsidRDefault="00A10CA7" w:rsidP="00502DD6">
            <w:pPr>
              <w:ind w:left="0"/>
              <w:jc w:val="left"/>
              <w:rPr>
                <w:rFonts w:ascii="Times New Roman" w:hAnsi="Times New Roman" w:cs="Times New Roman"/>
              </w:rPr>
            </w:pPr>
            <w:r>
              <w:rPr>
                <w:rFonts w:ascii="Times New Roman" w:hAnsi="Times New Roman" w:cs="Times New Roman"/>
              </w:rPr>
              <w:t>Ama de casa</w:t>
            </w:r>
          </w:p>
        </w:tc>
      </w:tr>
      <w:tr w:rsidR="00502DD6" w:rsidRPr="00502DD6" w:rsidTr="00E23E08">
        <w:tc>
          <w:tcPr>
            <w:tcW w:w="4180" w:type="dxa"/>
            <w:vMerge/>
            <w:tcBorders>
              <w:left w:val="thinThickThinSmallGap" w:sz="24" w:space="0" w:color="auto"/>
              <w:bottom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2874" w:type="dxa"/>
            <w:gridSpan w:val="2"/>
            <w:tcBorders>
              <w:bottom w:val="thinThickThinSmallGap" w:sz="24" w:space="0" w:color="auto"/>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Otros</w:t>
            </w:r>
          </w:p>
        </w:tc>
      </w:tr>
    </w:tbl>
    <w:p w:rsidR="00502DD6" w:rsidRPr="00502DD6" w:rsidRDefault="00502DD6" w:rsidP="00502DD6">
      <w:pPr>
        <w:ind w:left="360"/>
        <w:rPr>
          <w:rFonts w:ascii="Times New Roman" w:hAnsi="Times New Roman" w:cs="Times New Roman"/>
        </w:rPr>
      </w:pPr>
    </w:p>
    <w:p w:rsidR="00502DD6" w:rsidRDefault="00502DD6" w:rsidP="00502DD6">
      <w:pPr>
        <w:ind w:left="360"/>
        <w:rPr>
          <w:rFonts w:ascii="Times New Roman" w:hAnsi="Times New Roman" w:cs="Times New Roman"/>
        </w:rPr>
      </w:pPr>
    </w:p>
    <w:p w:rsidR="00D32959" w:rsidRDefault="00D32959" w:rsidP="00502DD6">
      <w:pPr>
        <w:ind w:left="360"/>
        <w:rPr>
          <w:rFonts w:ascii="Times New Roman" w:hAnsi="Times New Roman" w:cs="Times New Roman"/>
        </w:rPr>
      </w:pPr>
    </w:p>
    <w:p w:rsidR="00D32959" w:rsidRDefault="00D32959" w:rsidP="00502DD6">
      <w:pPr>
        <w:ind w:left="360"/>
        <w:rPr>
          <w:rFonts w:ascii="Times New Roman" w:hAnsi="Times New Roman" w:cs="Times New Roman"/>
        </w:rPr>
      </w:pPr>
    </w:p>
    <w:p w:rsidR="00D32959" w:rsidRDefault="00D32959" w:rsidP="00502DD6">
      <w:pPr>
        <w:ind w:left="360"/>
        <w:rPr>
          <w:rFonts w:ascii="Times New Roman" w:hAnsi="Times New Roman" w:cs="Times New Roman"/>
        </w:rPr>
      </w:pPr>
    </w:p>
    <w:p w:rsidR="00D32959" w:rsidRDefault="00D32959" w:rsidP="00502DD6">
      <w:pPr>
        <w:ind w:left="360"/>
        <w:rPr>
          <w:rFonts w:ascii="Times New Roman" w:hAnsi="Times New Roman" w:cs="Times New Roman"/>
        </w:rPr>
      </w:pPr>
    </w:p>
    <w:p w:rsidR="00D32959" w:rsidRDefault="00D32959" w:rsidP="00502DD6">
      <w:pPr>
        <w:ind w:left="360"/>
        <w:rPr>
          <w:rFonts w:ascii="Times New Roman" w:hAnsi="Times New Roman" w:cs="Times New Roman"/>
        </w:rPr>
      </w:pPr>
    </w:p>
    <w:p w:rsidR="00502DD6" w:rsidRPr="00502DD6" w:rsidRDefault="00D32959" w:rsidP="00502DD6">
      <w:pPr>
        <w:numPr>
          <w:ilvl w:val="0"/>
          <w:numId w:val="14"/>
        </w:numPr>
        <w:jc w:val="left"/>
        <w:rPr>
          <w:rFonts w:ascii="Times New Roman" w:hAnsi="Times New Roman" w:cs="Times New Roman"/>
        </w:rPr>
      </w:pPr>
      <w:r>
        <w:rPr>
          <w:rFonts w:ascii="Times New Roman" w:hAnsi="Times New Roman" w:cs="Times New Roman"/>
        </w:rPr>
        <w:lastRenderedPageBreak/>
        <w:t>Parámetros clínicos</w:t>
      </w:r>
    </w:p>
    <w:p w:rsidR="00502DD6" w:rsidRPr="00502DD6" w:rsidRDefault="00502DD6" w:rsidP="00502DD6">
      <w:pPr>
        <w:ind w:left="360"/>
        <w:jc w:val="left"/>
        <w:rPr>
          <w:rFonts w:ascii="Times New Roman" w:hAnsi="Times New Roman" w:cs="Times New Roman"/>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513"/>
        <w:gridCol w:w="570"/>
        <w:gridCol w:w="1260"/>
        <w:gridCol w:w="792"/>
      </w:tblGrid>
      <w:tr w:rsidR="00E23E08" w:rsidRPr="00502DD6" w:rsidTr="00E23E08">
        <w:tc>
          <w:tcPr>
            <w:tcW w:w="2502" w:type="dxa"/>
            <w:tcBorders>
              <w:top w:val="thinThickThinSmallGap" w:sz="24" w:space="0" w:color="auto"/>
              <w:left w:val="thinThickThinSmallGap" w:sz="24" w:space="0" w:color="auto"/>
            </w:tcBorders>
          </w:tcPr>
          <w:p w:rsidR="00E23E08" w:rsidRPr="00502DD6" w:rsidRDefault="00E23E08" w:rsidP="00502DD6">
            <w:pPr>
              <w:ind w:left="0"/>
              <w:jc w:val="left"/>
              <w:rPr>
                <w:rFonts w:ascii="Times New Roman" w:hAnsi="Times New Roman" w:cs="Times New Roman"/>
              </w:rPr>
            </w:pPr>
            <w:r w:rsidRPr="00502DD6">
              <w:rPr>
                <w:rFonts w:ascii="Times New Roman" w:hAnsi="Times New Roman" w:cs="Times New Roman"/>
              </w:rPr>
              <w:t>Preguntas</w:t>
            </w:r>
          </w:p>
        </w:tc>
        <w:tc>
          <w:tcPr>
            <w:tcW w:w="513" w:type="dxa"/>
            <w:tcBorders>
              <w:top w:val="thinThickThinSmallGap" w:sz="24" w:space="0" w:color="auto"/>
            </w:tcBorders>
          </w:tcPr>
          <w:p w:rsidR="00E23E08" w:rsidRPr="00502DD6" w:rsidRDefault="00E23E08" w:rsidP="00502DD6">
            <w:pPr>
              <w:ind w:left="0"/>
              <w:jc w:val="left"/>
              <w:rPr>
                <w:rFonts w:ascii="Times New Roman" w:hAnsi="Times New Roman" w:cs="Times New Roman"/>
              </w:rPr>
            </w:pPr>
            <w:r w:rsidRPr="00502DD6">
              <w:rPr>
                <w:rFonts w:ascii="Times New Roman" w:hAnsi="Times New Roman" w:cs="Times New Roman"/>
              </w:rPr>
              <w:t>Si</w:t>
            </w:r>
          </w:p>
        </w:tc>
        <w:tc>
          <w:tcPr>
            <w:tcW w:w="570" w:type="dxa"/>
            <w:tcBorders>
              <w:top w:val="thinThickThinSmallGap" w:sz="24" w:space="0" w:color="auto"/>
            </w:tcBorders>
          </w:tcPr>
          <w:p w:rsidR="00E23E08" w:rsidRPr="00502DD6" w:rsidRDefault="00E23E08" w:rsidP="00502DD6">
            <w:pPr>
              <w:ind w:left="0"/>
              <w:jc w:val="left"/>
              <w:rPr>
                <w:rFonts w:ascii="Times New Roman" w:hAnsi="Times New Roman" w:cs="Times New Roman"/>
              </w:rPr>
            </w:pPr>
            <w:r w:rsidRPr="00502DD6">
              <w:rPr>
                <w:rFonts w:ascii="Times New Roman" w:hAnsi="Times New Roman" w:cs="Times New Roman"/>
              </w:rPr>
              <w:t>No</w:t>
            </w:r>
          </w:p>
        </w:tc>
        <w:tc>
          <w:tcPr>
            <w:tcW w:w="1260" w:type="dxa"/>
            <w:tcBorders>
              <w:top w:val="thinThickThinSmallGap" w:sz="24" w:space="0" w:color="auto"/>
              <w:right w:val="single" w:sz="4" w:space="0" w:color="auto"/>
            </w:tcBorders>
          </w:tcPr>
          <w:p w:rsidR="00E23E08" w:rsidRPr="00502DD6" w:rsidRDefault="00E23E08" w:rsidP="00502DD6">
            <w:pPr>
              <w:ind w:left="0"/>
              <w:jc w:val="left"/>
              <w:rPr>
                <w:rFonts w:ascii="Times New Roman" w:hAnsi="Times New Roman" w:cs="Times New Roman"/>
              </w:rPr>
            </w:pPr>
            <w:r>
              <w:rPr>
                <w:rFonts w:ascii="Times New Roman" w:hAnsi="Times New Roman" w:cs="Times New Roman"/>
              </w:rPr>
              <w:t>puntaje</w:t>
            </w:r>
          </w:p>
        </w:tc>
        <w:tc>
          <w:tcPr>
            <w:tcW w:w="792" w:type="dxa"/>
            <w:tcBorders>
              <w:top w:val="thinThickThinSmallGap" w:sz="24" w:space="0" w:color="auto"/>
              <w:left w:val="single" w:sz="4" w:space="0" w:color="auto"/>
              <w:right w:val="thinThickThinSmallGap" w:sz="24" w:space="0" w:color="auto"/>
            </w:tcBorders>
          </w:tcPr>
          <w:p w:rsidR="00E23E08" w:rsidRPr="00502DD6" w:rsidRDefault="00E23E08" w:rsidP="00E23E08">
            <w:pPr>
              <w:ind w:left="0"/>
              <w:jc w:val="left"/>
              <w:rPr>
                <w:rFonts w:ascii="Times New Roman" w:hAnsi="Times New Roman" w:cs="Times New Roman"/>
              </w:rPr>
            </w:pPr>
            <w:r>
              <w:rPr>
                <w:rFonts w:ascii="Times New Roman" w:hAnsi="Times New Roman" w:cs="Times New Roman"/>
              </w:rPr>
              <w:t>total</w:t>
            </w:r>
          </w:p>
        </w:tc>
      </w:tr>
      <w:tr w:rsidR="00E23E08" w:rsidRPr="00502DD6" w:rsidTr="00E23E08">
        <w:trPr>
          <w:trHeight w:val="450"/>
        </w:trPr>
        <w:tc>
          <w:tcPr>
            <w:tcW w:w="2502" w:type="dxa"/>
            <w:tcBorders>
              <w:left w:val="thinThickThinSmallGap" w:sz="24" w:space="0" w:color="auto"/>
              <w:bottom w:val="single" w:sz="4" w:space="0" w:color="auto"/>
            </w:tcBorders>
          </w:tcPr>
          <w:p w:rsidR="00E23E08" w:rsidRPr="00502DD6" w:rsidRDefault="00E23E08" w:rsidP="00D32959">
            <w:pPr>
              <w:ind w:left="0"/>
              <w:jc w:val="left"/>
              <w:rPr>
                <w:rFonts w:ascii="Times New Roman" w:hAnsi="Times New Roman" w:cs="Times New Roman"/>
              </w:rPr>
            </w:pPr>
            <w:r w:rsidRPr="00502DD6">
              <w:rPr>
                <w:rFonts w:ascii="Times New Roman" w:hAnsi="Times New Roman" w:cs="Times New Roman"/>
              </w:rPr>
              <w:t xml:space="preserve">1. </w:t>
            </w:r>
            <w:r>
              <w:rPr>
                <w:rFonts w:ascii="Times New Roman" w:hAnsi="Times New Roman" w:cs="Times New Roman"/>
              </w:rPr>
              <w:t>Sangre por SNG</w:t>
            </w:r>
          </w:p>
        </w:tc>
        <w:tc>
          <w:tcPr>
            <w:tcW w:w="513" w:type="dxa"/>
            <w:tcBorders>
              <w:bottom w:val="single" w:sz="4" w:space="0" w:color="auto"/>
            </w:tcBorders>
          </w:tcPr>
          <w:p w:rsidR="00E23E08" w:rsidRPr="00502DD6" w:rsidRDefault="00E23E08" w:rsidP="00502DD6">
            <w:pPr>
              <w:ind w:left="0"/>
              <w:jc w:val="left"/>
              <w:rPr>
                <w:rFonts w:ascii="Times New Roman" w:hAnsi="Times New Roman" w:cs="Times New Roman"/>
              </w:rPr>
            </w:pPr>
          </w:p>
        </w:tc>
        <w:tc>
          <w:tcPr>
            <w:tcW w:w="570" w:type="dxa"/>
            <w:tcBorders>
              <w:bottom w:val="single" w:sz="4" w:space="0" w:color="auto"/>
            </w:tcBorders>
          </w:tcPr>
          <w:p w:rsidR="00E23E08" w:rsidRPr="00502DD6" w:rsidRDefault="00E23E08" w:rsidP="00502DD6">
            <w:pPr>
              <w:ind w:left="0"/>
              <w:jc w:val="left"/>
              <w:rPr>
                <w:rFonts w:ascii="Times New Roman" w:hAnsi="Times New Roman" w:cs="Times New Roman"/>
              </w:rPr>
            </w:pPr>
          </w:p>
        </w:tc>
        <w:tc>
          <w:tcPr>
            <w:tcW w:w="1260" w:type="dxa"/>
            <w:tcBorders>
              <w:bottom w:val="single" w:sz="4" w:space="0" w:color="auto"/>
              <w:right w:val="single" w:sz="4" w:space="0" w:color="auto"/>
            </w:tcBorders>
          </w:tcPr>
          <w:p w:rsidR="00E23E08" w:rsidRPr="00502DD6" w:rsidRDefault="00D47B1C" w:rsidP="00D47B1C">
            <w:pPr>
              <w:ind w:left="0"/>
              <w:jc w:val="center"/>
              <w:rPr>
                <w:rFonts w:ascii="Times New Roman" w:hAnsi="Times New Roman" w:cs="Times New Roman"/>
              </w:rPr>
            </w:pPr>
            <w:r>
              <w:rPr>
                <w:rFonts w:ascii="Times New Roman" w:hAnsi="Times New Roman" w:cs="Times New Roman"/>
              </w:rPr>
              <w:t>5</w:t>
            </w:r>
          </w:p>
        </w:tc>
        <w:tc>
          <w:tcPr>
            <w:tcW w:w="792" w:type="dxa"/>
            <w:tcBorders>
              <w:left w:val="single" w:sz="4" w:space="0" w:color="auto"/>
              <w:bottom w:val="single" w:sz="4" w:space="0" w:color="auto"/>
              <w:right w:val="thinThickThinSmallGap" w:sz="24" w:space="0" w:color="auto"/>
            </w:tcBorders>
          </w:tcPr>
          <w:p w:rsidR="00E23E08" w:rsidRPr="00502DD6" w:rsidRDefault="00E23E08" w:rsidP="00502DD6">
            <w:pPr>
              <w:ind w:left="0"/>
              <w:jc w:val="left"/>
              <w:rPr>
                <w:rFonts w:ascii="Times New Roman" w:hAnsi="Times New Roman" w:cs="Times New Roman"/>
              </w:rPr>
            </w:pPr>
          </w:p>
        </w:tc>
      </w:tr>
      <w:tr w:rsidR="00E23E08" w:rsidRPr="00502DD6" w:rsidTr="00E23E08">
        <w:trPr>
          <w:trHeight w:val="495"/>
        </w:trPr>
        <w:tc>
          <w:tcPr>
            <w:tcW w:w="2502" w:type="dxa"/>
            <w:tcBorders>
              <w:top w:val="single" w:sz="4" w:space="0" w:color="auto"/>
              <w:left w:val="thinThickThinSmallGap" w:sz="24" w:space="0" w:color="auto"/>
              <w:bottom w:val="single" w:sz="4" w:space="0" w:color="auto"/>
            </w:tcBorders>
          </w:tcPr>
          <w:p w:rsidR="00E23E08" w:rsidRPr="00502DD6" w:rsidRDefault="00E23E08" w:rsidP="00D32959">
            <w:pPr>
              <w:ind w:left="0"/>
              <w:jc w:val="left"/>
              <w:rPr>
                <w:rFonts w:ascii="Times New Roman" w:hAnsi="Times New Roman" w:cs="Times New Roman"/>
              </w:rPr>
            </w:pPr>
            <w:r>
              <w:rPr>
                <w:rFonts w:ascii="Times New Roman" w:hAnsi="Times New Roman" w:cs="Times New Roman"/>
              </w:rPr>
              <w:t>Hemoglobina &lt; 8</w:t>
            </w:r>
          </w:p>
        </w:tc>
        <w:tc>
          <w:tcPr>
            <w:tcW w:w="513"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570"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1260" w:type="dxa"/>
            <w:tcBorders>
              <w:top w:val="single" w:sz="4" w:space="0" w:color="auto"/>
              <w:bottom w:val="single" w:sz="4" w:space="0" w:color="auto"/>
              <w:right w:val="single" w:sz="4" w:space="0" w:color="auto"/>
            </w:tcBorders>
          </w:tcPr>
          <w:p w:rsidR="00E23E08" w:rsidRPr="00502DD6" w:rsidRDefault="00D47B1C" w:rsidP="00D47B1C">
            <w:pPr>
              <w:ind w:left="0"/>
              <w:jc w:val="center"/>
              <w:rPr>
                <w:rFonts w:ascii="Times New Roman" w:hAnsi="Times New Roman" w:cs="Times New Roman"/>
              </w:rPr>
            </w:pPr>
            <w:r>
              <w:rPr>
                <w:rFonts w:ascii="Times New Roman" w:hAnsi="Times New Roman" w:cs="Times New Roman"/>
              </w:rPr>
              <w:t>4</w:t>
            </w:r>
          </w:p>
        </w:tc>
        <w:tc>
          <w:tcPr>
            <w:tcW w:w="792" w:type="dxa"/>
            <w:tcBorders>
              <w:top w:val="single" w:sz="4" w:space="0" w:color="auto"/>
              <w:left w:val="single" w:sz="4" w:space="0" w:color="auto"/>
              <w:bottom w:val="single" w:sz="4" w:space="0" w:color="auto"/>
              <w:right w:val="thinThickThinSmallGap" w:sz="24" w:space="0" w:color="auto"/>
            </w:tcBorders>
          </w:tcPr>
          <w:p w:rsidR="00E23E08" w:rsidRPr="00502DD6" w:rsidRDefault="00E23E08" w:rsidP="00502DD6">
            <w:pPr>
              <w:ind w:left="0"/>
              <w:jc w:val="left"/>
              <w:rPr>
                <w:rFonts w:ascii="Times New Roman" w:hAnsi="Times New Roman" w:cs="Times New Roman"/>
              </w:rPr>
            </w:pPr>
          </w:p>
        </w:tc>
      </w:tr>
      <w:tr w:rsidR="00E23E08" w:rsidRPr="00502DD6" w:rsidTr="00E23E08">
        <w:trPr>
          <w:trHeight w:val="450"/>
        </w:trPr>
        <w:tc>
          <w:tcPr>
            <w:tcW w:w="2502" w:type="dxa"/>
            <w:tcBorders>
              <w:top w:val="single" w:sz="4" w:space="0" w:color="auto"/>
              <w:left w:val="thinThickThinSmallGap" w:sz="24" w:space="0" w:color="auto"/>
              <w:bottom w:val="single" w:sz="4" w:space="0" w:color="auto"/>
            </w:tcBorders>
          </w:tcPr>
          <w:p w:rsidR="00E23E08" w:rsidRDefault="00E23E08" w:rsidP="00D32959">
            <w:pPr>
              <w:ind w:left="0"/>
              <w:jc w:val="left"/>
              <w:rPr>
                <w:rFonts w:ascii="Times New Roman" w:hAnsi="Times New Roman" w:cs="Times New Roman"/>
              </w:rPr>
            </w:pPr>
            <w:r w:rsidRPr="00D32959">
              <w:rPr>
                <w:rFonts w:ascii="Times New Roman" w:hAnsi="Times New Roman" w:cs="Times New Roman"/>
              </w:rPr>
              <w:t>Lipotimia</w:t>
            </w:r>
          </w:p>
        </w:tc>
        <w:tc>
          <w:tcPr>
            <w:tcW w:w="513"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570"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1260" w:type="dxa"/>
            <w:tcBorders>
              <w:top w:val="single" w:sz="4" w:space="0" w:color="auto"/>
              <w:bottom w:val="single" w:sz="4" w:space="0" w:color="auto"/>
              <w:right w:val="single" w:sz="4" w:space="0" w:color="auto"/>
            </w:tcBorders>
          </w:tcPr>
          <w:p w:rsidR="00E23E08" w:rsidRPr="00502DD6" w:rsidRDefault="00D47B1C" w:rsidP="00D47B1C">
            <w:pPr>
              <w:ind w:left="0"/>
              <w:jc w:val="center"/>
              <w:rPr>
                <w:rFonts w:ascii="Times New Roman" w:hAnsi="Times New Roman" w:cs="Times New Roman"/>
              </w:rPr>
            </w:pPr>
            <w:r>
              <w:rPr>
                <w:rFonts w:ascii="Times New Roman" w:hAnsi="Times New Roman" w:cs="Times New Roman"/>
              </w:rPr>
              <w:t>4</w:t>
            </w:r>
          </w:p>
        </w:tc>
        <w:tc>
          <w:tcPr>
            <w:tcW w:w="792" w:type="dxa"/>
            <w:tcBorders>
              <w:top w:val="single" w:sz="4" w:space="0" w:color="auto"/>
              <w:left w:val="single" w:sz="4" w:space="0" w:color="auto"/>
              <w:bottom w:val="single" w:sz="4" w:space="0" w:color="auto"/>
              <w:right w:val="thinThickThinSmallGap" w:sz="24" w:space="0" w:color="auto"/>
            </w:tcBorders>
          </w:tcPr>
          <w:p w:rsidR="00E23E08" w:rsidRPr="00502DD6" w:rsidRDefault="00E23E08" w:rsidP="00502DD6">
            <w:pPr>
              <w:ind w:left="0"/>
              <w:jc w:val="left"/>
              <w:rPr>
                <w:rFonts w:ascii="Times New Roman" w:hAnsi="Times New Roman" w:cs="Times New Roman"/>
              </w:rPr>
            </w:pPr>
          </w:p>
        </w:tc>
      </w:tr>
      <w:tr w:rsidR="00E23E08" w:rsidRPr="00502DD6" w:rsidTr="00E23E08">
        <w:trPr>
          <w:trHeight w:val="720"/>
        </w:trPr>
        <w:tc>
          <w:tcPr>
            <w:tcW w:w="2502" w:type="dxa"/>
            <w:tcBorders>
              <w:top w:val="single" w:sz="4" w:space="0" w:color="auto"/>
              <w:left w:val="thinThickThinSmallGap" w:sz="24" w:space="0" w:color="auto"/>
              <w:bottom w:val="single" w:sz="4" w:space="0" w:color="auto"/>
            </w:tcBorders>
          </w:tcPr>
          <w:p w:rsidR="00E23E08" w:rsidRPr="00D32959" w:rsidRDefault="00E23E08" w:rsidP="00D32959">
            <w:pPr>
              <w:ind w:left="0"/>
              <w:jc w:val="left"/>
              <w:rPr>
                <w:rFonts w:ascii="Times New Roman" w:hAnsi="Times New Roman" w:cs="Times New Roman"/>
              </w:rPr>
            </w:pPr>
            <w:r w:rsidRPr="00D32959">
              <w:rPr>
                <w:rFonts w:ascii="Times New Roman" w:hAnsi="Times New Roman" w:cs="Times New Roman"/>
              </w:rPr>
              <w:t>Leucocitos &gt; 12.000/mm3</w:t>
            </w:r>
          </w:p>
        </w:tc>
        <w:tc>
          <w:tcPr>
            <w:tcW w:w="513"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570"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1260" w:type="dxa"/>
            <w:tcBorders>
              <w:top w:val="single" w:sz="4" w:space="0" w:color="auto"/>
              <w:bottom w:val="single" w:sz="4" w:space="0" w:color="auto"/>
              <w:right w:val="single" w:sz="4" w:space="0" w:color="auto"/>
            </w:tcBorders>
          </w:tcPr>
          <w:p w:rsidR="00E23E08" w:rsidRPr="00502DD6" w:rsidRDefault="00D47B1C" w:rsidP="00D47B1C">
            <w:pPr>
              <w:ind w:left="0"/>
              <w:jc w:val="center"/>
              <w:rPr>
                <w:rFonts w:ascii="Times New Roman" w:hAnsi="Times New Roman" w:cs="Times New Roman"/>
              </w:rPr>
            </w:pPr>
            <w:r>
              <w:rPr>
                <w:rFonts w:ascii="Times New Roman" w:hAnsi="Times New Roman" w:cs="Times New Roman"/>
              </w:rPr>
              <w:t>2</w:t>
            </w:r>
          </w:p>
        </w:tc>
        <w:tc>
          <w:tcPr>
            <w:tcW w:w="792" w:type="dxa"/>
            <w:tcBorders>
              <w:top w:val="single" w:sz="4" w:space="0" w:color="auto"/>
              <w:left w:val="single" w:sz="4" w:space="0" w:color="auto"/>
              <w:bottom w:val="single" w:sz="4" w:space="0" w:color="auto"/>
              <w:right w:val="thinThickThinSmallGap" w:sz="24" w:space="0" w:color="auto"/>
            </w:tcBorders>
          </w:tcPr>
          <w:p w:rsidR="00E23E08" w:rsidRPr="00502DD6" w:rsidRDefault="00E23E08" w:rsidP="00502DD6">
            <w:pPr>
              <w:ind w:left="0"/>
              <w:jc w:val="left"/>
              <w:rPr>
                <w:rFonts w:ascii="Times New Roman" w:hAnsi="Times New Roman" w:cs="Times New Roman"/>
              </w:rPr>
            </w:pPr>
          </w:p>
        </w:tc>
      </w:tr>
      <w:tr w:rsidR="00E23E08" w:rsidRPr="00502DD6" w:rsidTr="00E23E08">
        <w:trPr>
          <w:trHeight w:val="420"/>
        </w:trPr>
        <w:tc>
          <w:tcPr>
            <w:tcW w:w="2502" w:type="dxa"/>
            <w:tcBorders>
              <w:top w:val="single" w:sz="4" w:space="0" w:color="auto"/>
              <w:left w:val="thinThickThinSmallGap" w:sz="24" w:space="0" w:color="auto"/>
              <w:bottom w:val="single" w:sz="4" w:space="0" w:color="auto"/>
            </w:tcBorders>
          </w:tcPr>
          <w:p w:rsidR="00E23E08" w:rsidRPr="00D32959" w:rsidRDefault="00E23E08" w:rsidP="00D32959">
            <w:pPr>
              <w:tabs>
                <w:tab w:val="right" w:pos="2286"/>
              </w:tabs>
              <w:ind w:left="0"/>
              <w:jc w:val="left"/>
              <w:rPr>
                <w:rFonts w:ascii="Times New Roman" w:hAnsi="Times New Roman" w:cs="Times New Roman"/>
              </w:rPr>
            </w:pPr>
            <w:r w:rsidRPr="00D32959">
              <w:rPr>
                <w:rFonts w:ascii="Times New Roman" w:hAnsi="Times New Roman" w:cs="Times New Roman"/>
              </w:rPr>
              <w:t>Edad &gt; 65 años</w:t>
            </w:r>
            <w:r>
              <w:rPr>
                <w:rFonts w:ascii="Times New Roman" w:hAnsi="Times New Roman" w:cs="Times New Roman"/>
              </w:rPr>
              <w:tab/>
            </w:r>
          </w:p>
        </w:tc>
        <w:tc>
          <w:tcPr>
            <w:tcW w:w="513"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570" w:type="dxa"/>
            <w:tcBorders>
              <w:top w:val="single" w:sz="4" w:space="0" w:color="auto"/>
              <w:bottom w:val="single" w:sz="4" w:space="0" w:color="auto"/>
            </w:tcBorders>
          </w:tcPr>
          <w:p w:rsidR="00E23E08" w:rsidRPr="00502DD6" w:rsidRDefault="00E23E08" w:rsidP="00502DD6">
            <w:pPr>
              <w:ind w:left="0"/>
              <w:jc w:val="left"/>
              <w:rPr>
                <w:rFonts w:ascii="Times New Roman" w:hAnsi="Times New Roman" w:cs="Times New Roman"/>
              </w:rPr>
            </w:pPr>
          </w:p>
        </w:tc>
        <w:tc>
          <w:tcPr>
            <w:tcW w:w="1260" w:type="dxa"/>
            <w:tcBorders>
              <w:top w:val="single" w:sz="4" w:space="0" w:color="auto"/>
              <w:bottom w:val="single" w:sz="4" w:space="0" w:color="auto"/>
              <w:right w:val="single" w:sz="4" w:space="0" w:color="auto"/>
            </w:tcBorders>
          </w:tcPr>
          <w:p w:rsidR="00E23E08" w:rsidRPr="00502DD6" w:rsidRDefault="00D47B1C" w:rsidP="00D47B1C">
            <w:pPr>
              <w:ind w:left="0"/>
              <w:jc w:val="center"/>
              <w:rPr>
                <w:rFonts w:ascii="Times New Roman" w:hAnsi="Times New Roman" w:cs="Times New Roman"/>
              </w:rPr>
            </w:pPr>
            <w:r>
              <w:rPr>
                <w:rFonts w:ascii="Times New Roman" w:hAnsi="Times New Roman" w:cs="Times New Roman"/>
              </w:rPr>
              <w:t>2</w:t>
            </w:r>
          </w:p>
        </w:tc>
        <w:tc>
          <w:tcPr>
            <w:tcW w:w="792" w:type="dxa"/>
            <w:tcBorders>
              <w:top w:val="single" w:sz="4" w:space="0" w:color="auto"/>
              <w:left w:val="single" w:sz="4" w:space="0" w:color="auto"/>
              <w:bottom w:val="single" w:sz="4" w:space="0" w:color="auto"/>
              <w:right w:val="thinThickThinSmallGap" w:sz="24" w:space="0" w:color="auto"/>
            </w:tcBorders>
          </w:tcPr>
          <w:p w:rsidR="00E23E08" w:rsidRPr="00502DD6" w:rsidRDefault="00E23E08" w:rsidP="00502DD6">
            <w:pPr>
              <w:ind w:left="0"/>
              <w:jc w:val="left"/>
              <w:rPr>
                <w:rFonts w:ascii="Times New Roman" w:hAnsi="Times New Roman" w:cs="Times New Roman"/>
              </w:rPr>
            </w:pPr>
          </w:p>
        </w:tc>
      </w:tr>
      <w:tr w:rsidR="00E23E08" w:rsidRPr="00502DD6" w:rsidTr="00E23E08">
        <w:trPr>
          <w:trHeight w:val="561"/>
        </w:trPr>
        <w:tc>
          <w:tcPr>
            <w:tcW w:w="2502" w:type="dxa"/>
            <w:tcBorders>
              <w:top w:val="single" w:sz="4" w:space="0" w:color="auto"/>
              <w:left w:val="thinThickThinSmallGap" w:sz="24" w:space="0" w:color="auto"/>
              <w:bottom w:val="thinThickThinSmallGap" w:sz="24" w:space="0" w:color="auto"/>
            </w:tcBorders>
          </w:tcPr>
          <w:p w:rsidR="00E23E08" w:rsidRPr="00D32959" w:rsidRDefault="00E23E08" w:rsidP="00D32959">
            <w:pPr>
              <w:ind w:left="0"/>
              <w:jc w:val="left"/>
              <w:rPr>
                <w:rFonts w:ascii="Times New Roman" w:hAnsi="Times New Roman" w:cs="Times New Roman"/>
              </w:rPr>
            </w:pPr>
            <w:r w:rsidRPr="00D32959">
              <w:rPr>
                <w:rFonts w:ascii="Times New Roman" w:hAnsi="Times New Roman" w:cs="Times New Roman"/>
              </w:rPr>
              <w:t>Inestabilidad hemodinámica</w:t>
            </w:r>
          </w:p>
        </w:tc>
        <w:tc>
          <w:tcPr>
            <w:tcW w:w="513" w:type="dxa"/>
            <w:tcBorders>
              <w:top w:val="single" w:sz="4" w:space="0" w:color="auto"/>
              <w:bottom w:val="thinThickThinSmallGap" w:sz="24" w:space="0" w:color="auto"/>
            </w:tcBorders>
          </w:tcPr>
          <w:p w:rsidR="00E23E08" w:rsidRPr="00502DD6" w:rsidRDefault="00E23E08" w:rsidP="00502DD6">
            <w:pPr>
              <w:ind w:left="0"/>
              <w:jc w:val="left"/>
              <w:rPr>
                <w:rFonts w:ascii="Times New Roman" w:hAnsi="Times New Roman" w:cs="Times New Roman"/>
              </w:rPr>
            </w:pPr>
          </w:p>
        </w:tc>
        <w:tc>
          <w:tcPr>
            <w:tcW w:w="570" w:type="dxa"/>
            <w:tcBorders>
              <w:top w:val="single" w:sz="4" w:space="0" w:color="auto"/>
              <w:bottom w:val="thinThickThinSmallGap" w:sz="24" w:space="0" w:color="auto"/>
            </w:tcBorders>
          </w:tcPr>
          <w:p w:rsidR="00E23E08" w:rsidRPr="00502DD6" w:rsidRDefault="00E23E08" w:rsidP="00502DD6">
            <w:pPr>
              <w:ind w:left="0"/>
              <w:jc w:val="left"/>
              <w:rPr>
                <w:rFonts w:ascii="Times New Roman" w:hAnsi="Times New Roman" w:cs="Times New Roman"/>
              </w:rPr>
            </w:pPr>
          </w:p>
        </w:tc>
        <w:tc>
          <w:tcPr>
            <w:tcW w:w="1260" w:type="dxa"/>
            <w:tcBorders>
              <w:top w:val="single" w:sz="4" w:space="0" w:color="auto"/>
              <w:bottom w:val="thinThickThinSmallGap" w:sz="24" w:space="0" w:color="auto"/>
              <w:right w:val="single" w:sz="4" w:space="0" w:color="auto"/>
            </w:tcBorders>
          </w:tcPr>
          <w:p w:rsidR="00E23E08" w:rsidRPr="00502DD6" w:rsidRDefault="00D47B1C" w:rsidP="00D47B1C">
            <w:pPr>
              <w:ind w:left="0"/>
              <w:jc w:val="center"/>
              <w:rPr>
                <w:rFonts w:ascii="Times New Roman" w:hAnsi="Times New Roman" w:cs="Times New Roman"/>
              </w:rPr>
            </w:pPr>
            <w:r>
              <w:rPr>
                <w:rFonts w:ascii="Times New Roman" w:hAnsi="Times New Roman" w:cs="Times New Roman"/>
              </w:rPr>
              <w:t>1</w:t>
            </w:r>
          </w:p>
        </w:tc>
        <w:tc>
          <w:tcPr>
            <w:tcW w:w="792" w:type="dxa"/>
            <w:tcBorders>
              <w:top w:val="single" w:sz="4" w:space="0" w:color="auto"/>
              <w:left w:val="single" w:sz="4" w:space="0" w:color="auto"/>
              <w:bottom w:val="thinThickThinSmallGap" w:sz="24" w:space="0" w:color="auto"/>
              <w:right w:val="thinThickThinSmallGap" w:sz="24" w:space="0" w:color="auto"/>
            </w:tcBorders>
          </w:tcPr>
          <w:p w:rsidR="00E23E08" w:rsidRPr="00502DD6" w:rsidRDefault="00E23E08" w:rsidP="00502DD6">
            <w:pPr>
              <w:ind w:left="0"/>
              <w:jc w:val="left"/>
              <w:rPr>
                <w:rFonts w:ascii="Times New Roman" w:hAnsi="Times New Roman" w:cs="Times New Roman"/>
              </w:rPr>
            </w:pPr>
          </w:p>
        </w:tc>
      </w:tr>
    </w:tbl>
    <w:p w:rsidR="00502DD6" w:rsidRPr="00502DD6" w:rsidRDefault="00502DD6" w:rsidP="00502DD6">
      <w:pPr>
        <w:ind w:left="0"/>
        <w:jc w:val="left"/>
        <w:rPr>
          <w:rFonts w:ascii="Times New Roman" w:hAnsi="Times New Roman" w:cs="Times New Roman"/>
        </w:rPr>
      </w:pPr>
    </w:p>
    <w:p w:rsidR="00502DD6" w:rsidRPr="00502DD6" w:rsidRDefault="00D32959" w:rsidP="00502DD6">
      <w:pPr>
        <w:numPr>
          <w:ilvl w:val="0"/>
          <w:numId w:val="14"/>
        </w:numPr>
        <w:jc w:val="left"/>
        <w:rPr>
          <w:rFonts w:ascii="Times New Roman" w:hAnsi="Times New Roman" w:cs="Times New Roman"/>
        </w:rPr>
      </w:pPr>
      <w:r>
        <w:rPr>
          <w:rFonts w:ascii="Times New Roman" w:hAnsi="Times New Roman" w:cs="Times New Roman"/>
        </w:rPr>
        <w:t>Hallazgos médicos asociados</w:t>
      </w:r>
    </w:p>
    <w:p w:rsidR="00502DD6" w:rsidRPr="00502DD6" w:rsidRDefault="00502DD6" w:rsidP="00502DD6">
      <w:pPr>
        <w:ind w:left="0"/>
        <w:jc w:val="lef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7"/>
        <w:gridCol w:w="4002"/>
      </w:tblGrid>
      <w:tr w:rsidR="00502DD6" w:rsidRPr="00502DD6" w:rsidTr="00E23E08">
        <w:trPr>
          <w:trHeight w:val="163"/>
        </w:trPr>
        <w:tc>
          <w:tcPr>
            <w:tcW w:w="2187" w:type="dxa"/>
            <w:vMerge w:val="restart"/>
            <w:tcBorders>
              <w:top w:val="thinThickThinSmallGap" w:sz="24" w:space="0" w:color="auto"/>
              <w:lef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 xml:space="preserve">1. Qué enfermedades </w:t>
            </w:r>
            <w:r w:rsidR="00D32959">
              <w:rPr>
                <w:rFonts w:ascii="Times New Roman" w:hAnsi="Times New Roman" w:cs="Times New Roman"/>
              </w:rPr>
              <w:t>se asocian</w:t>
            </w:r>
          </w:p>
        </w:tc>
        <w:tc>
          <w:tcPr>
            <w:tcW w:w="4002" w:type="dxa"/>
            <w:tcBorders>
              <w:top w:val="thinThickThinSmallGap" w:sz="24" w:space="0" w:color="auto"/>
              <w:right w:val="thinThickThinSmallGap" w:sz="24" w:space="0" w:color="auto"/>
            </w:tcBorders>
          </w:tcPr>
          <w:p w:rsidR="00502DD6" w:rsidRPr="00502DD6" w:rsidRDefault="00D32959" w:rsidP="00502DD6">
            <w:pPr>
              <w:ind w:left="0"/>
              <w:jc w:val="left"/>
              <w:rPr>
                <w:rFonts w:ascii="Times New Roman" w:hAnsi="Times New Roman" w:cs="Times New Roman"/>
              </w:rPr>
            </w:pPr>
            <w:r>
              <w:rPr>
                <w:rFonts w:ascii="Times New Roman" w:hAnsi="Times New Roman" w:cs="Times New Roman"/>
              </w:rPr>
              <w:t>a) Cirrosis</w:t>
            </w:r>
          </w:p>
        </w:tc>
      </w:tr>
      <w:tr w:rsidR="00502DD6" w:rsidRPr="00502DD6" w:rsidTr="00E23E08">
        <w:trPr>
          <w:trHeight w:val="162"/>
        </w:trPr>
        <w:tc>
          <w:tcPr>
            <w:tcW w:w="2187"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right w:val="thinThickThinSmallGap" w:sz="24" w:space="0" w:color="auto"/>
            </w:tcBorders>
          </w:tcPr>
          <w:p w:rsidR="00502DD6" w:rsidRPr="00502DD6" w:rsidRDefault="00D32959" w:rsidP="00502DD6">
            <w:pPr>
              <w:ind w:left="0"/>
              <w:jc w:val="left"/>
              <w:rPr>
                <w:rFonts w:ascii="Times New Roman" w:hAnsi="Times New Roman" w:cs="Times New Roman"/>
              </w:rPr>
            </w:pPr>
            <w:r>
              <w:rPr>
                <w:rFonts w:ascii="Times New Roman" w:hAnsi="Times New Roman" w:cs="Times New Roman"/>
              </w:rPr>
              <w:t>b) ulcera gástrica</w:t>
            </w:r>
          </w:p>
        </w:tc>
      </w:tr>
      <w:tr w:rsidR="00502DD6" w:rsidRPr="00502DD6" w:rsidTr="00E23E08">
        <w:trPr>
          <w:trHeight w:val="162"/>
        </w:trPr>
        <w:tc>
          <w:tcPr>
            <w:tcW w:w="2187"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c) Hipertensión arterial</w:t>
            </w:r>
          </w:p>
        </w:tc>
      </w:tr>
      <w:tr w:rsidR="00502DD6" w:rsidRPr="00502DD6" w:rsidTr="00E23E08">
        <w:trPr>
          <w:trHeight w:val="107"/>
        </w:trPr>
        <w:tc>
          <w:tcPr>
            <w:tcW w:w="2187"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right w:val="thinThickThinSmallGap" w:sz="24" w:space="0" w:color="auto"/>
            </w:tcBorders>
          </w:tcPr>
          <w:p w:rsidR="00502DD6" w:rsidRPr="00502DD6" w:rsidRDefault="00D32959" w:rsidP="00502DD6">
            <w:pPr>
              <w:ind w:left="0"/>
              <w:jc w:val="left"/>
              <w:rPr>
                <w:rFonts w:ascii="Times New Roman" w:hAnsi="Times New Roman" w:cs="Times New Roman"/>
              </w:rPr>
            </w:pPr>
            <w:r>
              <w:rPr>
                <w:rFonts w:ascii="Times New Roman" w:hAnsi="Times New Roman" w:cs="Times New Roman"/>
              </w:rPr>
              <w:t>d) osteoartritis</w:t>
            </w:r>
          </w:p>
        </w:tc>
      </w:tr>
      <w:tr w:rsidR="00502DD6" w:rsidRPr="00502DD6" w:rsidTr="00E23E08">
        <w:trPr>
          <w:trHeight w:val="107"/>
        </w:trPr>
        <w:tc>
          <w:tcPr>
            <w:tcW w:w="2187"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e) Otros</w:t>
            </w:r>
          </w:p>
        </w:tc>
      </w:tr>
      <w:tr w:rsidR="00502DD6" w:rsidRPr="00502DD6" w:rsidTr="00E23E08">
        <w:trPr>
          <w:trHeight w:val="87"/>
        </w:trPr>
        <w:tc>
          <w:tcPr>
            <w:tcW w:w="2187" w:type="dxa"/>
            <w:vMerge w:val="restart"/>
            <w:tcBorders>
              <w:left w:val="thinThickThinSmallGap" w:sz="24" w:space="0" w:color="auto"/>
            </w:tcBorders>
          </w:tcPr>
          <w:p w:rsidR="00502DD6" w:rsidRPr="00502DD6" w:rsidRDefault="00D32959" w:rsidP="00D32959">
            <w:pPr>
              <w:ind w:left="0"/>
              <w:jc w:val="left"/>
              <w:rPr>
                <w:rFonts w:ascii="Times New Roman" w:hAnsi="Times New Roman" w:cs="Times New Roman"/>
              </w:rPr>
            </w:pPr>
            <w:r>
              <w:rPr>
                <w:rFonts w:ascii="Times New Roman" w:hAnsi="Times New Roman" w:cs="Times New Roman"/>
              </w:rPr>
              <w:t>2. M</w:t>
            </w:r>
            <w:r w:rsidR="00502DD6" w:rsidRPr="00502DD6">
              <w:rPr>
                <w:rFonts w:ascii="Times New Roman" w:hAnsi="Times New Roman" w:cs="Times New Roman"/>
              </w:rPr>
              <w:t>edicamentos</w:t>
            </w:r>
          </w:p>
        </w:tc>
        <w:tc>
          <w:tcPr>
            <w:tcW w:w="4002" w:type="dxa"/>
            <w:tcBorders>
              <w:right w:val="thinThickThinSmallGap" w:sz="24" w:space="0" w:color="auto"/>
            </w:tcBorders>
          </w:tcPr>
          <w:p w:rsidR="00502DD6" w:rsidRPr="00502DD6" w:rsidRDefault="00D32959" w:rsidP="00502DD6">
            <w:pPr>
              <w:ind w:left="0"/>
              <w:jc w:val="left"/>
              <w:rPr>
                <w:rFonts w:ascii="Times New Roman" w:hAnsi="Times New Roman" w:cs="Times New Roman"/>
              </w:rPr>
            </w:pPr>
            <w:r>
              <w:rPr>
                <w:rFonts w:ascii="Times New Roman" w:hAnsi="Times New Roman" w:cs="Times New Roman"/>
              </w:rPr>
              <w:t>a) AINE´S</w:t>
            </w:r>
          </w:p>
        </w:tc>
      </w:tr>
      <w:tr w:rsidR="00502DD6" w:rsidRPr="00502DD6" w:rsidTr="00E23E08">
        <w:trPr>
          <w:trHeight w:val="87"/>
        </w:trPr>
        <w:tc>
          <w:tcPr>
            <w:tcW w:w="2187"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right w:val="thinThickThinSmallGap" w:sz="24" w:space="0" w:color="auto"/>
            </w:tcBorders>
          </w:tcPr>
          <w:p w:rsidR="00502DD6" w:rsidRPr="00502DD6" w:rsidRDefault="00D32959" w:rsidP="00502DD6">
            <w:pPr>
              <w:ind w:left="0"/>
              <w:jc w:val="left"/>
              <w:rPr>
                <w:rFonts w:ascii="Times New Roman" w:hAnsi="Times New Roman" w:cs="Times New Roman"/>
              </w:rPr>
            </w:pPr>
            <w:r>
              <w:rPr>
                <w:rFonts w:ascii="Times New Roman" w:hAnsi="Times New Roman" w:cs="Times New Roman"/>
              </w:rPr>
              <w:t>b) bloqueadores de acides gástrica</w:t>
            </w:r>
          </w:p>
        </w:tc>
      </w:tr>
      <w:tr w:rsidR="00502DD6" w:rsidRPr="00502DD6" w:rsidTr="00E23E08">
        <w:trPr>
          <w:trHeight w:val="87"/>
        </w:trPr>
        <w:tc>
          <w:tcPr>
            <w:tcW w:w="2187"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c) Antihipertensivos</w:t>
            </w:r>
          </w:p>
        </w:tc>
      </w:tr>
      <w:tr w:rsidR="00502DD6" w:rsidRPr="00502DD6" w:rsidTr="00E23E08">
        <w:trPr>
          <w:trHeight w:val="87"/>
        </w:trPr>
        <w:tc>
          <w:tcPr>
            <w:tcW w:w="2187" w:type="dxa"/>
            <w:vMerge/>
            <w:tcBorders>
              <w:left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bottom w:val="single" w:sz="4" w:space="0" w:color="000000"/>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d) Antibióticos</w:t>
            </w:r>
          </w:p>
        </w:tc>
      </w:tr>
      <w:tr w:rsidR="00502DD6" w:rsidRPr="00502DD6" w:rsidTr="00E23E08">
        <w:trPr>
          <w:trHeight w:val="70"/>
        </w:trPr>
        <w:tc>
          <w:tcPr>
            <w:tcW w:w="2187" w:type="dxa"/>
            <w:vMerge/>
            <w:tcBorders>
              <w:left w:val="thinThickThinSmallGap" w:sz="24" w:space="0" w:color="auto"/>
              <w:bottom w:val="thinThickThinSmallGap" w:sz="24" w:space="0" w:color="auto"/>
            </w:tcBorders>
          </w:tcPr>
          <w:p w:rsidR="00502DD6" w:rsidRPr="00502DD6" w:rsidRDefault="00502DD6" w:rsidP="00502DD6">
            <w:pPr>
              <w:ind w:left="0"/>
              <w:jc w:val="left"/>
              <w:rPr>
                <w:rFonts w:ascii="Times New Roman" w:hAnsi="Times New Roman" w:cs="Times New Roman"/>
              </w:rPr>
            </w:pPr>
          </w:p>
        </w:tc>
        <w:tc>
          <w:tcPr>
            <w:tcW w:w="4002" w:type="dxa"/>
            <w:tcBorders>
              <w:top w:val="single" w:sz="4" w:space="0" w:color="000000"/>
              <w:bottom w:val="thinThickThinSmallGap" w:sz="24" w:space="0" w:color="auto"/>
              <w:right w:val="thinThickThinSmallGap" w:sz="24" w:space="0" w:color="auto"/>
            </w:tcBorders>
          </w:tcPr>
          <w:p w:rsidR="00502DD6" w:rsidRPr="00502DD6" w:rsidRDefault="00502DD6" w:rsidP="00502DD6">
            <w:pPr>
              <w:ind w:left="0"/>
              <w:jc w:val="left"/>
              <w:rPr>
                <w:rFonts w:ascii="Times New Roman" w:hAnsi="Times New Roman" w:cs="Times New Roman"/>
              </w:rPr>
            </w:pPr>
            <w:r w:rsidRPr="00502DD6">
              <w:rPr>
                <w:rFonts w:ascii="Times New Roman" w:hAnsi="Times New Roman" w:cs="Times New Roman"/>
              </w:rPr>
              <w:t>e) Otros</w:t>
            </w:r>
          </w:p>
        </w:tc>
      </w:tr>
    </w:tbl>
    <w:p w:rsidR="00502DD6" w:rsidRPr="00502DD6" w:rsidRDefault="00502DD6" w:rsidP="00502DD6">
      <w:pPr>
        <w:ind w:left="0"/>
        <w:jc w:val="left"/>
        <w:rPr>
          <w:rFonts w:ascii="Times New Roman" w:hAnsi="Times New Roman" w:cs="Times New Roman"/>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D119FA" w:rsidRDefault="00D119FA" w:rsidP="002410CE">
      <w:pPr>
        <w:ind w:left="0"/>
        <w:rPr>
          <w:lang w:val="es-SV"/>
        </w:rPr>
      </w:pPr>
    </w:p>
    <w:p w:rsidR="00A10CA7" w:rsidRDefault="00A10CA7" w:rsidP="002410CE">
      <w:pPr>
        <w:ind w:left="0"/>
        <w:rPr>
          <w:lang w:val="es-SV"/>
        </w:rPr>
      </w:pPr>
      <w:r>
        <w:rPr>
          <w:lang w:val="es-SV"/>
        </w:rPr>
        <w:lastRenderedPageBreak/>
        <w:t>Tabla</w:t>
      </w:r>
      <w:r w:rsidRPr="00A10CA7">
        <w:rPr>
          <w:lang w:val="es-SV"/>
        </w:rPr>
        <w:t xml:space="preserve"> de Referencia</w:t>
      </w:r>
    </w:p>
    <w:p w:rsidR="00A10CA7" w:rsidRDefault="00A10CA7" w:rsidP="002410CE">
      <w:pPr>
        <w:ind w:left="0"/>
        <w:rPr>
          <w:lang w:val="es-SV"/>
        </w:rPr>
      </w:pPr>
    </w:p>
    <w:p w:rsidR="00E23E08" w:rsidRDefault="00A10CA7" w:rsidP="002410CE">
      <w:pPr>
        <w:ind w:left="0"/>
        <w:rPr>
          <w:lang w:val="es-SV"/>
        </w:rPr>
      </w:pPr>
      <w:r>
        <w:rPr>
          <w:noProof/>
          <w:lang w:val="es-SV" w:eastAsia="es-SV"/>
        </w:rPr>
        <w:drawing>
          <wp:inline distT="0" distB="0" distL="0" distR="0">
            <wp:extent cx="5229224" cy="2590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8590" cy="2590486"/>
                    </a:xfrm>
                    <a:prstGeom prst="rect">
                      <a:avLst/>
                    </a:prstGeom>
                    <a:noFill/>
                  </pic:spPr>
                </pic:pic>
              </a:graphicData>
            </a:graphic>
          </wp:inline>
        </w:drawing>
      </w:r>
    </w:p>
    <w:sectPr w:rsidR="00E23E08" w:rsidSect="00645066">
      <w:footerReference w:type="default" r:id="rId17"/>
      <w:footerReference w:type="first" r:id="rId18"/>
      <w:type w:val="continuous"/>
      <w:pgSz w:w="12240" w:h="15840" w:code="1"/>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14" w:rsidRDefault="00D32014" w:rsidP="0071555F">
      <w:r>
        <w:separator/>
      </w:r>
    </w:p>
  </w:endnote>
  <w:endnote w:type="continuationSeparator" w:id="0">
    <w:p w:rsidR="00D32014" w:rsidRDefault="00D32014" w:rsidP="0071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33139"/>
      <w:docPartObj>
        <w:docPartGallery w:val="Page Numbers (Bottom of Page)"/>
        <w:docPartUnique/>
      </w:docPartObj>
    </w:sdtPr>
    <w:sdtEndPr/>
    <w:sdtContent>
      <w:p w:rsidR="00B7593F" w:rsidRDefault="00B7593F">
        <w:pPr>
          <w:pStyle w:val="Footer"/>
          <w:jc w:val="right"/>
        </w:pPr>
        <w:r>
          <w:fldChar w:fldCharType="begin"/>
        </w:r>
        <w:r>
          <w:instrText>PAGE   \* MERGEFORMAT</w:instrText>
        </w:r>
        <w:r>
          <w:fldChar w:fldCharType="separate"/>
        </w:r>
        <w:r w:rsidR="00BA7F6E">
          <w:rPr>
            <w:noProof/>
          </w:rPr>
          <w:t>3</w:t>
        </w:r>
        <w:r>
          <w:fldChar w:fldCharType="end"/>
        </w:r>
      </w:p>
    </w:sdtContent>
  </w:sdt>
  <w:p w:rsidR="00B7593F" w:rsidRDefault="00B7593F" w:rsidP="00AC5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53013"/>
      <w:docPartObj>
        <w:docPartGallery w:val="Page Numbers (Bottom of Page)"/>
        <w:docPartUnique/>
      </w:docPartObj>
    </w:sdtPr>
    <w:sdtEndPr/>
    <w:sdtContent>
      <w:p w:rsidR="00B7593F" w:rsidRDefault="00B7593F">
        <w:pPr>
          <w:pStyle w:val="Footer"/>
          <w:jc w:val="right"/>
        </w:pPr>
        <w:r>
          <w:fldChar w:fldCharType="begin"/>
        </w:r>
        <w:r>
          <w:instrText>PAGE   \* MERGEFORMAT</w:instrText>
        </w:r>
        <w:r>
          <w:fldChar w:fldCharType="separate"/>
        </w:r>
        <w:r>
          <w:rPr>
            <w:noProof/>
          </w:rPr>
          <w:t>1</w:t>
        </w:r>
        <w:r>
          <w:fldChar w:fldCharType="end"/>
        </w:r>
      </w:p>
    </w:sdtContent>
  </w:sdt>
  <w:p w:rsidR="00B7593F" w:rsidRDefault="00B7593F" w:rsidP="003C5A10">
    <w:pPr>
      <w:pStyle w:val="Footer"/>
      <w:ind w:left="42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14" w:rsidRDefault="00D32014" w:rsidP="0071555F">
      <w:r>
        <w:separator/>
      </w:r>
    </w:p>
  </w:footnote>
  <w:footnote w:type="continuationSeparator" w:id="0">
    <w:p w:rsidR="00D32014" w:rsidRDefault="00D32014" w:rsidP="0071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877"/>
    <w:multiLevelType w:val="multilevel"/>
    <w:tmpl w:val="3084BE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4C77"/>
    <w:multiLevelType w:val="hybridMultilevel"/>
    <w:tmpl w:val="893C46B0"/>
    <w:lvl w:ilvl="0" w:tplc="0C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1DC7D85"/>
    <w:multiLevelType w:val="multilevel"/>
    <w:tmpl w:val="ECAE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327CD"/>
    <w:multiLevelType w:val="hybridMultilevel"/>
    <w:tmpl w:val="F4562AE6"/>
    <w:lvl w:ilvl="0" w:tplc="A5EE1010">
      <w:start w:val="2"/>
      <w:numFmt w:val="decimal"/>
      <w:lvlText w:val="%1."/>
      <w:lvlJc w:val="left"/>
      <w:pPr>
        <w:tabs>
          <w:tab w:val="num" w:pos="1200"/>
        </w:tabs>
        <w:ind w:left="1200" w:hanging="360"/>
      </w:pPr>
      <w:rPr>
        <w:rFonts w:hint="default"/>
      </w:rPr>
    </w:lvl>
    <w:lvl w:ilvl="1" w:tplc="0C0A0019">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4">
    <w:nsid w:val="03F44E4D"/>
    <w:multiLevelType w:val="hybridMultilevel"/>
    <w:tmpl w:val="EDF2EB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45A22D3"/>
    <w:multiLevelType w:val="hybridMultilevel"/>
    <w:tmpl w:val="324E3E36"/>
    <w:lvl w:ilvl="0" w:tplc="0C0A000B">
      <w:start w:val="1"/>
      <w:numFmt w:val="bullet"/>
      <w:lvlText w:val=""/>
      <w:lvlJc w:val="left"/>
      <w:pPr>
        <w:ind w:left="1211" w:hanging="360"/>
      </w:pPr>
      <w:rPr>
        <w:rFonts w:ascii="Wingdings" w:hAnsi="Wingdings"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6">
    <w:nsid w:val="07306C6A"/>
    <w:multiLevelType w:val="hybridMultilevel"/>
    <w:tmpl w:val="B66CFB88"/>
    <w:lvl w:ilvl="0" w:tplc="7024A9A8">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84150F0"/>
    <w:multiLevelType w:val="multilevel"/>
    <w:tmpl w:val="F8B49AEC"/>
    <w:lvl w:ilvl="0">
      <w:start w:val="1"/>
      <w:numFmt w:val="bullet"/>
      <w:lvlText w:val=""/>
      <w:lvlJc w:val="left"/>
      <w:pPr>
        <w:tabs>
          <w:tab w:val="num" w:pos="1494"/>
        </w:tabs>
        <w:ind w:left="1494" w:hanging="360"/>
      </w:pPr>
      <w:rPr>
        <w:rFonts w:ascii="Symbol" w:hAnsi="Symbol" w:hint="default"/>
        <w:sz w:val="20"/>
      </w:rPr>
    </w:lvl>
    <w:lvl w:ilvl="1">
      <w:start w:val="1"/>
      <w:numFmt w:val="decimal"/>
      <w:lvlText w:val="%2."/>
      <w:lvlJc w:val="left"/>
      <w:pPr>
        <w:ind w:left="502"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D4610E"/>
    <w:multiLevelType w:val="hybridMultilevel"/>
    <w:tmpl w:val="C0F4DDD6"/>
    <w:lvl w:ilvl="0" w:tplc="386861C8">
      <w:start w:val="1"/>
      <w:numFmt w:val="decimal"/>
      <w:lvlText w:val="%1."/>
      <w:lvlJc w:val="left"/>
      <w:pPr>
        <w:ind w:left="810" w:hanging="360"/>
      </w:pPr>
      <w:rPr>
        <w:rFonts w:hint="default"/>
        <w:b w:val="0"/>
        <w:sz w:val="24"/>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9">
    <w:nsid w:val="108A325E"/>
    <w:multiLevelType w:val="multilevel"/>
    <w:tmpl w:val="03AC4DB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1A1D0A8F"/>
    <w:multiLevelType w:val="hybridMultilevel"/>
    <w:tmpl w:val="06AC4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013AE1"/>
    <w:multiLevelType w:val="hybridMultilevel"/>
    <w:tmpl w:val="C1C09736"/>
    <w:lvl w:ilvl="0" w:tplc="949C907E">
      <w:start w:val="2"/>
      <w:numFmt w:val="decimal"/>
      <w:lvlText w:val="%1."/>
      <w:lvlJc w:val="left"/>
      <w:pPr>
        <w:ind w:left="1101" w:hanging="360"/>
      </w:pPr>
      <w:rPr>
        <w:rFonts w:hint="default"/>
      </w:rPr>
    </w:lvl>
    <w:lvl w:ilvl="1" w:tplc="440A0019" w:tentative="1">
      <w:start w:val="1"/>
      <w:numFmt w:val="lowerLetter"/>
      <w:lvlText w:val="%2."/>
      <w:lvlJc w:val="left"/>
      <w:pPr>
        <w:ind w:left="1821" w:hanging="360"/>
      </w:pPr>
    </w:lvl>
    <w:lvl w:ilvl="2" w:tplc="440A001B" w:tentative="1">
      <w:start w:val="1"/>
      <w:numFmt w:val="lowerRoman"/>
      <w:lvlText w:val="%3."/>
      <w:lvlJc w:val="right"/>
      <w:pPr>
        <w:ind w:left="2541" w:hanging="180"/>
      </w:pPr>
    </w:lvl>
    <w:lvl w:ilvl="3" w:tplc="440A000F" w:tentative="1">
      <w:start w:val="1"/>
      <w:numFmt w:val="decimal"/>
      <w:lvlText w:val="%4."/>
      <w:lvlJc w:val="left"/>
      <w:pPr>
        <w:ind w:left="3261" w:hanging="360"/>
      </w:pPr>
    </w:lvl>
    <w:lvl w:ilvl="4" w:tplc="440A0019" w:tentative="1">
      <w:start w:val="1"/>
      <w:numFmt w:val="lowerLetter"/>
      <w:lvlText w:val="%5."/>
      <w:lvlJc w:val="left"/>
      <w:pPr>
        <w:ind w:left="3981" w:hanging="360"/>
      </w:pPr>
    </w:lvl>
    <w:lvl w:ilvl="5" w:tplc="440A001B" w:tentative="1">
      <w:start w:val="1"/>
      <w:numFmt w:val="lowerRoman"/>
      <w:lvlText w:val="%6."/>
      <w:lvlJc w:val="right"/>
      <w:pPr>
        <w:ind w:left="4701" w:hanging="180"/>
      </w:pPr>
    </w:lvl>
    <w:lvl w:ilvl="6" w:tplc="440A000F" w:tentative="1">
      <w:start w:val="1"/>
      <w:numFmt w:val="decimal"/>
      <w:lvlText w:val="%7."/>
      <w:lvlJc w:val="left"/>
      <w:pPr>
        <w:ind w:left="5421" w:hanging="360"/>
      </w:pPr>
    </w:lvl>
    <w:lvl w:ilvl="7" w:tplc="440A0019" w:tentative="1">
      <w:start w:val="1"/>
      <w:numFmt w:val="lowerLetter"/>
      <w:lvlText w:val="%8."/>
      <w:lvlJc w:val="left"/>
      <w:pPr>
        <w:ind w:left="6141" w:hanging="360"/>
      </w:pPr>
    </w:lvl>
    <w:lvl w:ilvl="8" w:tplc="440A001B" w:tentative="1">
      <w:start w:val="1"/>
      <w:numFmt w:val="lowerRoman"/>
      <w:lvlText w:val="%9."/>
      <w:lvlJc w:val="right"/>
      <w:pPr>
        <w:ind w:left="6861" w:hanging="180"/>
      </w:pPr>
    </w:lvl>
  </w:abstractNum>
  <w:abstractNum w:abstractNumId="12">
    <w:nsid w:val="1B0D0618"/>
    <w:multiLevelType w:val="hybridMultilevel"/>
    <w:tmpl w:val="AECC60A8"/>
    <w:lvl w:ilvl="0" w:tplc="069AA33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82BFE"/>
    <w:multiLevelType w:val="multilevel"/>
    <w:tmpl w:val="1FB0089A"/>
    <w:lvl w:ilvl="0">
      <w:start w:val="3"/>
      <w:numFmt w:val="decimal"/>
      <w:lvlText w:val="%1."/>
      <w:lvlJc w:val="left"/>
      <w:pPr>
        <w:ind w:left="1101" w:hanging="360"/>
      </w:pPr>
      <w:rPr>
        <w:rFonts w:hint="default"/>
      </w:rPr>
    </w:lvl>
    <w:lvl w:ilvl="1">
      <w:start w:val="1"/>
      <w:numFmt w:val="decimal"/>
      <w:isLgl/>
      <w:lvlText w:val="%1.%2"/>
      <w:lvlJc w:val="left"/>
      <w:pPr>
        <w:ind w:left="1146" w:hanging="405"/>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2181" w:hanging="144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541" w:hanging="1800"/>
      </w:pPr>
      <w:rPr>
        <w:rFonts w:hint="default"/>
      </w:rPr>
    </w:lvl>
    <w:lvl w:ilvl="8">
      <w:start w:val="1"/>
      <w:numFmt w:val="decimal"/>
      <w:isLgl/>
      <w:lvlText w:val="%1.%2.%3.%4.%5.%6.%7.%8.%9"/>
      <w:lvlJc w:val="left"/>
      <w:pPr>
        <w:ind w:left="2541" w:hanging="1800"/>
      </w:pPr>
      <w:rPr>
        <w:rFonts w:hint="default"/>
      </w:rPr>
    </w:lvl>
  </w:abstractNum>
  <w:abstractNum w:abstractNumId="14">
    <w:nsid w:val="20552766"/>
    <w:multiLevelType w:val="hybridMultilevel"/>
    <w:tmpl w:val="3A2625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2326288B"/>
    <w:multiLevelType w:val="hybridMultilevel"/>
    <w:tmpl w:val="5E3EDA48"/>
    <w:lvl w:ilvl="0" w:tplc="0C0A0001">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ind w:left="1211"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6">
    <w:nsid w:val="23424C9B"/>
    <w:multiLevelType w:val="multilevel"/>
    <w:tmpl w:val="2D0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87771"/>
    <w:multiLevelType w:val="multilevel"/>
    <w:tmpl w:val="D890945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25A32849"/>
    <w:multiLevelType w:val="hybridMultilevel"/>
    <w:tmpl w:val="E01877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8046B61"/>
    <w:multiLevelType w:val="hybridMultilevel"/>
    <w:tmpl w:val="60F8A0E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2B102D7C"/>
    <w:multiLevelType w:val="multilevel"/>
    <w:tmpl w:val="1BDAF13A"/>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458" w:hanging="39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1">
    <w:nsid w:val="2D58362C"/>
    <w:multiLevelType w:val="hybridMultilevel"/>
    <w:tmpl w:val="4DA062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3700BBF"/>
    <w:multiLevelType w:val="hybridMultilevel"/>
    <w:tmpl w:val="4CCEEA56"/>
    <w:lvl w:ilvl="0" w:tplc="93A0CDDE">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6C2F46"/>
    <w:multiLevelType w:val="hybridMultilevel"/>
    <w:tmpl w:val="FFD89AD6"/>
    <w:lvl w:ilvl="0" w:tplc="DE9EF964">
      <w:start w:val="1"/>
      <w:numFmt w:val="lowerRoman"/>
      <w:lvlText w:val="%1."/>
      <w:lvlJc w:val="righ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3C850D2A"/>
    <w:multiLevelType w:val="hybridMultilevel"/>
    <w:tmpl w:val="1FDA5CDA"/>
    <w:lvl w:ilvl="0" w:tplc="D8A82E3C">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3C8C1956"/>
    <w:multiLevelType w:val="hybridMultilevel"/>
    <w:tmpl w:val="36829AAA"/>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6">
    <w:nsid w:val="3D2F71B3"/>
    <w:multiLevelType w:val="hybridMultilevel"/>
    <w:tmpl w:val="3CE6AD74"/>
    <w:lvl w:ilvl="0" w:tplc="6AAA8238">
      <w:start w:val="7"/>
      <w:numFmt w:val="bullet"/>
      <w:lvlText w:val="-"/>
      <w:lvlJc w:val="left"/>
      <w:pPr>
        <w:ind w:left="360" w:hanging="360"/>
      </w:pPr>
      <w:rPr>
        <w:rFonts w:ascii="Arial" w:eastAsia="Times New Roman" w:hAnsi="Aria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3E2B3BEB"/>
    <w:multiLevelType w:val="hybridMultilevel"/>
    <w:tmpl w:val="1AE4211C"/>
    <w:lvl w:ilvl="0" w:tplc="FAC4E0A4">
      <w:start w:val="1"/>
      <w:numFmt w:val="decimal"/>
      <w:lvlText w:val="%1."/>
      <w:lvlJc w:val="left"/>
      <w:pPr>
        <w:tabs>
          <w:tab w:val="num" w:pos="1101"/>
        </w:tabs>
        <w:ind w:left="1101" w:hanging="360"/>
      </w:pPr>
      <w:rPr>
        <w:rFonts w:hint="default"/>
      </w:r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8">
    <w:nsid w:val="3E644C0A"/>
    <w:multiLevelType w:val="multilevel"/>
    <w:tmpl w:val="DD2EDD48"/>
    <w:lvl w:ilvl="0">
      <w:start w:val="9"/>
      <w:numFmt w:val="decimal"/>
      <w:lvlText w:val="%1"/>
      <w:lvlJc w:val="left"/>
      <w:pPr>
        <w:tabs>
          <w:tab w:val="num" w:pos="525"/>
        </w:tabs>
        <w:ind w:left="525" w:hanging="525"/>
      </w:pPr>
      <w:rPr>
        <w:rFonts w:hint="default"/>
      </w:rPr>
    </w:lvl>
    <w:lvl w:ilvl="1">
      <w:start w:val="6"/>
      <w:numFmt w:val="decimal"/>
      <w:lvlText w:val="%1.%2"/>
      <w:lvlJc w:val="left"/>
      <w:pPr>
        <w:tabs>
          <w:tab w:val="num" w:pos="1059"/>
        </w:tabs>
        <w:ind w:left="1059" w:hanging="525"/>
      </w:pPr>
      <w:rPr>
        <w:rFonts w:hint="default"/>
      </w:rPr>
    </w:lvl>
    <w:lvl w:ilvl="2">
      <w:start w:val="3"/>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29">
    <w:nsid w:val="414D728F"/>
    <w:multiLevelType w:val="hybridMultilevel"/>
    <w:tmpl w:val="1C6A8BB0"/>
    <w:lvl w:ilvl="0" w:tplc="9D487070">
      <w:start w:val="2"/>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3F00024"/>
    <w:multiLevelType w:val="hybridMultilevel"/>
    <w:tmpl w:val="E012AC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505161B"/>
    <w:multiLevelType w:val="hybridMultilevel"/>
    <w:tmpl w:val="DBD4E3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5964A92"/>
    <w:multiLevelType w:val="hybridMultilevel"/>
    <w:tmpl w:val="E8D61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5F22492"/>
    <w:multiLevelType w:val="hybridMultilevel"/>
    <w:tmpl w:val="4A3C2DE6"/>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46074163"/>
    <w:multiLevelType w:val="hybridMultilevel"/>
    <w:tmpl w:val="4844ED7C"/>
    <w:lvl w:ilvl="0" w:tplc="9BC69FCA">
      <w:start w:val="5"/>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77173FA"/>
    <w:multiLevelType w:val="hybridMultilevel"/>
    <w:tmpl w:val="1E761006"/>
    <w:lvl w:ilvl="0" w:tplc="204A2F26">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A7F2F57"/>
    <w:multiLevelType w:val="hybridMultilevel"/>
    <w:tmpl w:val="C6F65212"/>
    <w:lvl w:ilvl="0" w:tplc="0C0A000B">
      <w:start w:val="1"/>
      <w:numFmt w:val="bullet"/>
      <w:lvlText w:val=""/>
      <w:lvlJc w:val="left"/>
      <w:pPr>
        <w:ind w:left="1211"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4480737"/>
    <w:multiLevelType w:val="multilevel"/>
    <w:tmpl w:val="E624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504141"/>
    <w:multiLevelType w:val="multilevel"/>
    <w:tmpl w:val="55B0D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0E4348"/>
    <w:multiLevelType w:val="hybridMultilevel"/>
    <w:tmpl w:val="E3467696"/>
    <w:lvl w:ilvl="0" w:tplc="B45E1B62">
      <w:start w:val="4"/>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68314E3"/>
    <w:multiLevelType w:val="multilevel"/>
    <w:tmpl w:val="ECAE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C177D8"/>
    <w:multiLevelType w:val="multilevel"/>
    <w:tmpl w:val="344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567583"/>
    <w:multiLevelType w:val="hybridMultilevel"/>
    <w:tmpl w:val="3FB67EEC"/>
    <w:lvl w:ilvl="0" w:tplc="81B47EF0">
      <w:start w:val="12"/>
      <w:numFmt w:val="bullet"/>
      <w:lvlText w:val="-"/>
      <w:lvlJc w:val="left"/>
      <w:pPr>
        <w:ind w:left="1068" w:hanging="360"/>
      </w:pPr>
      <w:rPr>
        <w:rFonts w:ascii="Arial" w:eastAsia="Times New Roma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nsid w:val="6C682978"/>
    <w:multiLevelType w:val="multilevel"/>
    <w:tmpl w:val="4572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EA33F6"/>
    <w:multiLevelType w:val="multilevel"/>
    <w:tmpl w:val="3E5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172313"/>
    <w:multiLevelType w:val="hybridMultilevel"/>
    <w:tmpl w:val="95FA1C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43440DF"/>
    <w:multiLevelType w:val="hybridMultilevel"/>
    <w:tmpl w:val="9CEA437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B8E4F10"/>
    <w:multiLevelType w:val="multilevel"/>
    <w:tmpl w:val="BAD0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3B5B49"/>
    <w:multiLevelType w:val="hybridMultilevel"/>
    <w:tmpl w:val="B4A4AC38"/>
    <w:lvl w:ilvl="0" w:tplc="FC5C03DA">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8"/>
  </w:num>
  <w:num w:numId="3">
    <w:abstractNumId w:val="7"/>
  </w:num>
  <w:num w:numId="4">
    <w:abstractNumId w:val="36"/>
  </w:num>
  <w:num w:numId="5">
    <w:abstractNumId w:val="5"/>
  </w:num>
  <w:num w:numId="6">
    <w:abstractNumId w:val="40"/>
  </w:num>
  <w:num w:numId="7">
    <w:abstractNumId w:val="3"/>
  </w:num>
  <w:num w:numId="8">
    <w:abstractNumId w:val="27"/>
  </w:num>
  <w:num w:numId="9">
    <w:abstractNumId w:val="6"/>
  </w:num>
  <w:num w:numId="10">
    <w:abstractNumId w:val="33"/>
  </w:num>
  <w:num w:numId="11">
    <w:abstractNumId w:val="15"/>
  </w:num>
  <w:num w:numId="12">
    <w:abstractNumId w:val="28"/>
  </w:num>
  <w:num w:numId="13">
    <w:abstractNumId w:val="24"/>
  </w:num>
  <w:num w:numId="14">
    <w:abstractNumId w:val="29"/>
  </w:num>
  <w:num w:numId="15">
    <w:abstractNumId w:val="34"/>
  </w:num>
  <w:num w:numId="16">
    <w:abstractNumId w:val="35"/>
  </w:num>
  <w:num w:numId="17">
    <w:abstractNumId w:val="2"/>
  </w:num>
  <w:num w:numId="18">
    <w:abstractNumId w:val="41"/>
  </w:num>
  <w:num w:numId="19">
    <w:abstractNumId w:val="47"/>
  </w:num>
  <w:num w:numId="20">
    <w:abstractNumId w:val="44"/>
  </w:num>
  <w:num w:numId="21">
    <w:abstractNumId w:val="43"/>
  </w:num>
  <w:num w:numId="22">
    <w:abstractNumId w:val="16"/>
  </w:num>
  <w:num w:numId="23">
    <w:abstractNumId w:val="37"/>
  </w:num>
  <w:num w:numId="24">
    <w:abstractNumId w:val="12"/>
  </w:num>
  <w:num w:numId="25">
    <w:abstractNumId w:val="9"/>
  </w:num>
  <w:num w:numId="26">
    <w:abstractNumId w:val="46"/>
  </w:num>
  <w:num w:numId="27">
    <w:abstractNumId w:val="25"/>
  </w:num>
  <w:num w:numId="28">
    <w:abstractNumId w:val="32"/>
  </w:num>
  <w:num w:numId="29">
    <w:abstractNumId w:val="45"/>
  </w:num>
  <w:num w:numId="30">
    <w:abstractNumId w:val="26"/>
  </w:num>
  <w:num w:numId="31">
    <w:abstractNumId w:val="8"/>
  </w:num>
  <w:num w:numId="32">
    <w:abstractNumId w:val="20"/>
  </w:num>
  <w:num w:numId="33">
    <w:abstractNumId w:val="42"/>
  </w:num>
  <w:num w:numId="34">
    <w:abstractNumId w:val="19"/>
  </w:num>
  <w:num w:numId="35">
    <w:abstractNumId w:val="14"/>
  </w:num>
  <w:num w:numId="36">
    <w:abstractNumId w:val="22"/>
  </w:num>
  <w:num w:numId="37">
    <w:abstractNumId w:val="48"/>
  </w:num>
  <w:num w:numId="38">
    <w:abstractNumId w:val="1"/>
  </w:num>
  <w:num w:numId="39">
    <w:abstractNumId w:val="13"/>
  </w:num>
  <w:num w:numId="40">
    <w:abstractNumId w:val="11"/>
  </w:num>
  <w:num w:numId="41">
    <w:abstractNumId w:val="39"/>
  </w:num>
  <w:num w:numId="42">
    <w:abstractNumId w:val="17"/>
  </w:num>
  <w:num w:numId="43">
    <w:abstractNumId w:val="18"/>
  </w:num>
  <w:num w:numId="44">
    <w:abstractNumId w:val="30"/>
  </w:num>
  <w:num w:numId="45">
    <w:abstractNumId w:val="23"/>
  </w:num>
  <w:num w:numId="46">
    <w:abstractNumId w:val="10"/>
  </w:num>
  <w:num w:numId="47">
    <w:abstractNumId w:val="31"/>
  </w:num>
  <w:num w:numId="48">
    <w:abstractNumId w:val="2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3C"/>
    <w:rsid w:val="00003479"/>
    <w:rsid w:val="000071D8"/>
    <w:rsid w:val="00010F77"/>
    <w:rsid w:val="0001247D"/>
    <w:rsid w:val="00012EF9"/>
    <w:rsid w:val="00014556"/>
    <w:rsid w:val="00021241"/>
    <w:rsid w:val="00024537"/>
    <w:rsid w:val="000273A8"/>
    <w:rsid w:val="00034EF2"/>
    <w:rsid w:val="00043BBC"/>
    <w:rsid w:val="00045816"/>
    <w:rsid w:val="00052D7E"/>
    <w:rsid w:val="00057515"/>
    <w:rsid w:val="00057550"/>
    <w:rsid w:val="00057A7D"/>
    <w:rsid w:val="00060913"/>
    <w:rsid w:val="000646B2"/>
    <w:rsid w:val="00066AC3"/>
    <w:rsid w:val="0006793A"/>
    <w:rsid w:val="000710F3"/>
    <w:rsid w:val="00074946"/>
    <w:rsid w:val="00077E8C"/>
    <w:rsid w:val="000807E5"/>
    <w:rsid w:val="0008184B"/>
    <w:rsid w:val="00081E36"/>
    <w:rsid w:val="000859EB"/>
    <w:rsid w:val="00086CA1"/>
    <w:rsid w:val="0009440B"/>
    <w:rsid w:val="00094709"/>
    <w:rsid w:val="00096361"/>
    <w:rsid w:val="000A2C6C"/>
    <w:rsid w:val="000A4F37"/>
    <w:rsid w:val="000A585D"/>
    <w:rsid w:val="000A6111"/>
    <w:rsid w:val="000B1A56"/>
    <w:rsid w:val="000C4E8C"/>
    <w:rsid w:val="000C5937"/>
    <w:rsid w:val="000D6725"/>
    <w:rsid w:val="000F4F3F"/>
    <w:rsid w:val="000F585D"/>
    <w:rsid w:val="000F7B04"/>
    <w:rsid w:val="000F7B7A"/>
    <w:rsid w:val="00100B77"/>
    <w:rsid w:val="00105BE9"/>
    <w:rsid w:val="00106913"/>
    <w:rsid w:val="00111044"/>
    <w:rsid w:val="00111FC4"/>
    <w:rsid w:val="00117A89"/>
    <w:rsid w:val="00125AA2"/>
    <w:rsid w:val="00130BAC"/>
    <w:rsid w:val="001334C3"/>
    <w:rsid w:val="001337E6"/>
    <w:rsid w:val="0013437A"/>
    <w:rsid w:val="00134440"/>
    <w:rsid w:val="00134589"/>
    <w:rsid w:val="00137BDB"/>
    <w:rsid w:val="00140AD9"/>
    <w:rsid w:val="001444A3"/>
    <w:rsid w:val="00160F42"/>
    <w:rsid w:val="00161903"/>
    <w:rsid w:val="00174E53"/>
    <w:rsid w:val="00175AEE"/>
    <w:rsid w:val="00176CC1"/>
    <w:rsid w:val="00177C5E"/>
    <w:rsid w:val="00180A2D"/>
    <w:rsid w:val="00181D61"/>
    <w:rsid w:val="001838B0"/>
    <w:rsid w:val="0018773C"/>
    <w:rsid w:val="001956CD"/>
    <w:rsid w:val="00197D19"/>
    <w:rsid w:val="001A3C5F"/>
    <w:rsid w:val="001A5EF6"/>
    <w:rsid w:val="001B4735"/>
    <w:rsid w:val="001C292C"/>
    <w:rsid w:val="001C2B34"/>
    <w:rsid w:val="001C2D59"/>
    <w:rsid w:val="001E2477"/>
    <w:rsid w:val="001E2A7B"/>
    <w:rsid w:val="001F6760"/>
    <w:rsid w:val="001F7121"/>
    <w:rsid w:val="0020154E"/>
    <w:rsid w:val="00207161"/>
    <w:rsid w:val="002148D2"/>
    <w:rsid w:val="00215175"/>
    <w:rsid w:val="002171BA"/>
    <w:rsid w:val="00227946"/>
    <w:rsid w:val="00235F84"/>
    <w:rsid w:val="002410CE"/>
    <w:rsid w:val="00241D68"/>
    <w:rsid w:val="0026260C"/>
    <w:rsid w:val="002627F6"/>
    <w:rsid w:val="00274CF8"/>
    <w:rsid w:val="00276E99"/>
    <w:rsid w:val="00280711"/>
    <w:rsid w:val="00280752"/>
    <w:rsid w:val="002836BF"/>
    <w:rsid w:val="0028737D"/>
    <w:rsid w:val="00292B9E"/>
    <w:rsid w:val="002A5318"/>
    <w:rsid w:val="002B3AE4"/>
    <w:rsid w:val="002B6D98"/>
    <w:rsid w:val="002C0F42"/>
    <w:rsid w:val="002C3BE9"/>
    <w:rsid w:val="002C5053"/>
    <w:rsid w:val="002C5DFC"/>
    <w:rsid w:val="002C6677"/>
    <w:rsid w:val="002D0F62"/>
    <w:rsid w:val="002D4EB8"/>
    <w:rsid w:val="002D4ED9"/>
    <w:rsid w:val="002F498E"/>
    <w:rsid w:val="002F617A"/>
    <w:rsid w:val="002F77FC"/>
    <w:rsid w:val="002F7D84"/>
    <w:rsid w:val="003007AC"/>
    <w:rsid w:val="00314619"/>
    <w:rsid w:val="00315C30"/>
    <w:rsid w:val="00316396"/>
    <w:rsid w:val="003207B7"/>
    <w:rsid w:val="00337068"/>
    <w:rsid w:val="00342B2D"/>
    <w:rsid w:val="00345F23"/>
    <w:rsid w:val="0035011F"/>
    <w:rsid w:val="003537BA"/>
    <w:rsid w:val="00360E2D"/>
    <w:rsid w:val="00365517"/>
    <w:rsid w:val="00366C6E"/>
    <w:rsid w:val="003704CC"/>
    <w:rsid w:val="00371740"/>
    <w:rsid w:val="003752E1"/>
    <w:rsid w:val="00386111"/>
    <w:rsid w:val="00393EB5"/>
    <w:rsid w:val="00395299"/>
    <w:rsid w:val="00396276"/>
    <w:rsid w:val="003A0C97"/>
    <w:rsid w:val="003A5CDC"/>
    <w:rsid w:val="003B2C72"/>
    <w:rsid w:val="003B41DD"/>
    <w:rsid w:val="003B4380"/>
    <w:rsid w:val="003B4867"/>
    <w:rsid w:val="003C5A10"/>
    <w:rsid w:val="003D2453"/>
    <w:rsid w:val="003D5AB6"/>
    <w:rsid w:val="003D607E"/>
    <w:rsid w:val="003E1F02"/>
    <w:rsid w:val="003E2F9E"/>
    <w:rsid w:val="003E5109"/>
    <w:rsid w:val="003F1428"/>
    <w:rsid w:val="003F2200"/>
    <w:rsid w:val="003F3EB2"/>
    <w:rsid w:val="003F5783"/>
    <w:rsid w:val="003F6E4E"/>
    <w:rsid w:val="004029FE"/>
    <w:rsid w:val="00403CA7"/>
    <w:rsid w:val="00410E0B"/>
    <w:rsid w:val="00411E20"/>
    <w:rsid w:val="004232E6"/>
    <w:rsid w:val="004303DC"/>
    <w:rsid w:val="00433FB7"/>
    <w:rsid w:val="00441354"/>
    <w:rsid w:val="00441C9D"/>
    <w:rsid w:val="0044265D"/>
    <w:rsid w:val="004434B5"/>
    <w:rsid w:val="00443CA8"/>
    <w:rsid w:val="00445414"/>
    <w:rsid w:val="00446F12"/>
    <w:rsid w:val="00447D1C"/>
    <w:rsid w:val="00447EBE"/>
    <w:rsid w:val="00467A32"/>
    <w:rsid w:val="004732AC"/>
    <w:rsid w:val="00475ABB"/>
    <w:rsid w:val="00477025"/>
    <w:rsid w:val="0048097D"/>
    <w:rsid w:val="00482847"/>
    <w:rsid w:val="00483355"/>
    <w:rsid w:val="004929A2"/>
    <w:rsid w:val="004B38E3"/>
    <w:rsid w:val="004B7032"/>
    <w:rsid w:val="004C1061"/>
    <w:rsid w:val="004D12DB"/>
    <w:rsid w:val="004D4E48"/>
    <w:rsid w:val="004D7285"/>
    <w:rsid w:val="004E3C3B"/>
    <w:rsid w:val="004F443F"/>
    <w:rsid w:val="004F516D"/>
    <w:rsid w:val="004F61EB"/>
    <w:rsid w:val="00501C3E"/>
    <w:rsid w:val="00502DD6"/>
    <w:rsid w:val="00506464"/>
    <w:rsid w:val="00515152"/>
    <w:rsid w:val="0052031B"/>
    <w:rsid w:val="00527D67"/>
    <w:rsid w:val="00536273"/>
    <w:rsid w:val="00537294"/>
    <w:rsid w:val="00543D48"/>
    <w:rsid w:val="00552EE6"/>
    <w:rsid w:val="00554464"/>
    <w:rsid w:val="0055665C"/>
    <w:rsid w:val="00556D5B"/>
    <w:rsid w:val="005722C3"/>
    <w:rsid w:val="0057639D"/>
    <w:rsid w:val="00576B25"/>
    <w:rsid w:val="0059199E"/>
    <w:rsid w:val="00594C22"/>
    <w:rsid w:val="00595BCF"/>
    <w:rsid w:val="00597170"/>
    <w:rsid w:val="005A375F"/>
    <w:rsid w:val="005A6517"/>
    <w:rsid w:val="005B5008"/>
    <w:rsid w:val="005C3CE9"/>
    <w:rsid w:val="005D69A1"/>
    <w:rsid w:val="005E4D4B"/>
    <w:rsid w:val="005F02D7"/>
    <w:rsid w:val="005F1B07"/>
    <w:rsid w:val="005F1E34"/>
    <w:rsid w:val="005F2162"/>
    <w:rsid w:val="005F3A9F"/>
    <w:rsid w:val="006002CD"/>
    <w:rsid w:val="006016BC"/>
    <w:rsid w:val="00601DB4"/>
    <w:rsid w:val="006040AA"/>
    <w:rsid w:val="006052B6"/>
    <w:rsid w:val="00610186"/>
    <w:rsid w:val="00614E1F"/>
    <w:rsid w:val="0062026B"/>
    <w:rsid w:val="00624C15"/>
    <w:rsid w:val="006269D0"/>
    <w:rsid w:val="00630A7A"/>
    <w:rsid w:val="00631492"/>
    <w:rsid w:val="00633A6F"/>
    <w:rsid w:val="00637341"/>
    <w:rsid w:val="00645066"/>
    <w:rsid w:val="00645EB1"/>
    <w:rsid w:val="00647020"/>
    <w:rsid w:val="0065474B"/>
    <w:rsid w:val="00655088"/>
    <w:rsid w:val="00655E91"/>
    <w:rsid w:val="00657D72"/>
    <w:rsid w:val="006632CD"/>
    <w:rsid w:val="006647B5"/>
    <w:rsid w:val="006771A2"/>
    <w:rsid w:val="00685CE3"/>
    <w:rsid w:val="00687B80"/>
    <w:rsid w:val="006902CD"/>
    <w:rsid w:val="0069713E"/>
    <w:rsid w:val="006975CA"/>
    <w:rsid w:val="006A2208"/>
    <w:rsid w:val="006A6E18"/>
    <w:rsid w:val="006B072B"/>
    <w:rsid w:val="006C27BA"/>
    <w:rsid w:val="006C567B"/>
    <w:rsid w:val="006D2967"/>
    <w:rsid w:val="006D6434"/>
    <w:rsid w:val="006D7B08"/>
    <w:rsid w:val="006E0906"/>
    <w:rsid w:val="006E2E45"/>
    <w:rsid w:val="006F06F9"/>
    <w:rsid w:val="00704F6D"/>
    <w:rsid w:val="007074F0"/>
    <w:rsid w:val="00711759"/>
    <w:rsid w:val="0071555F"/>
    <w:rsid w:val="00717B22"/>
    <w:rsid w:val="00720D78"/>
    <w:rsid w:val="007261D2"/>
    <w:rsid w:val="007306B8"/>
    <w:rsid w:val="00733E0C"/>
    <w:rsid w:val="007409C2"/>
    <w:rsid w:val="00740F84"/>
    <w:rsid w:val="007436B9"/>
    <w:rsid w:val="007510EF"/>
    <w:rsid w:val="00753799"/>
    <w:rsid w:val="0075611F"/>
    <w:rsid w:val="007575CA"/>
    <w:rsid w:val="00765507"/>
    <w:rsid w:val="00765AF1"/>
    <w:rsid w:val="00777434"/>
    <w:rsid w:val="00784040"/>
    <w:rsid w:val="00786FC4"/>
    <w:rsid w:val="0079436F"/>
    <w:rsid w:val="007B56D7"/>
    <w:rsid w:val="007C7180"/>
    <w:rsid w:val="007D52AA"/>
    <w:rsid w:val="007D5F2C"/>
    <w:rsid w:val="007D6A21"/>
    <w:rsid w:val="007D7E60"/>
    <w:rsid w:val="007F4B57"/>
    <w:rsid w:val="00800767"/>
    <w:rsid w:val="008022B9"/>
    <w:rsid w:val="00802BE2"/>
    <w:rsid w:val="0080434C"/>
    <w:rsid w:val="00804B29"/>
    <w:rsid w:val="00804EE2"/>
    <w:rsid w:val="008143A2"/>
    <w:rsid w:val="00815DA0"/>
    <w:rsid w:val="00824CC9"/>
    <w:rsid w:val="008252EC"/>
    <w:rsid w:val="00830411"/>
    <w:rsid w:val="00831D60"/>
    <w:rsid w:val="00832D12"/>
    <w:rsid w:val="008345E6"/>
    <w:rsid w:val="0083651C"/>
    <w:rsid w:val="008367D4"/>
    <w:rsid w:val="00836C70"/>
    <w:rsid w:val="00842E9D"/>
    <w:rsid w:val="00843E61"/>
    <w:rsid w:val="00846298"/>
    <w:rsid w:val="0084783F"/>
    <w:rsid w:val="00860D17"/>
    <w:rsid w:val="008632DE"/>
    <w:rsid w:val="0086516A"/>
    <w:rsid w:val="00866834"/>
    <w:rsid w:val="008670D7"/>
    <w:rsid w:val="00871112"/>
    <w:rsid w:val="0087531E"/>
    <w:rsid w:val="00876D90"/>
    <w:rsid w:val="00876EA7"/>
    <w:rsid w:val="00881394"/>
    <w:rsid w:val="00885F09"/>
    <w:rsid w:val="008926E7"/>
    <w:rsid w:val="00896339"/>
    <w:rsid w:val="008A3A87"/>
    <w:rsid w:val="008A3E15"/>
    <w:rsid w:val="008B0978"/>
    <w:rsid w:val="008B712B"/>
    <w:rsid w:val="008C1884"/>
    <w:rsid w:val="008C6FB4"/>
    <w:rsid w:val="008E7397"/>
    <w:rsid w:val="008E7873"/>
    <w:rsid w:val="008F2F1C"/>
    <w:rsid w:val="008F649E"/>
    <w:rsid w:val="008F732A"/>
    <w:rsid w:val="0090232D"/>
    <w:rsid w:val="009026F4"/>
    <w:rsid w:val="00902B6D"/>
    <w:rsid w:val="00903125"/>
    <w:rsid w:val="00903EE8"/>
    <w:rsid w:val="00910296"/>
    <w:rsid w:val="00912A98"/>
    <w:rsid w:val="00925B54"/>
    <w:rsid w:val="00930892"/>
    <w:rsid w:val="00935462"/>
    <w:rsid w:val="0094197D"/>
    <w:rsid w:val="00942DEB"/>
    <w:rsid w:val="00946670"/>
    <w:rsid w:val="00947C6D"/>
    <w:rsid w:val="00952F40"/>
    <w:rsid w:val="009559E9"/>
    <w:rsid w:val="0096791D"/>
    <w:rsid w:val="009679EA"/>
    <w:rsid w:val="009702EB"/>
    <w:rsid w:val="00971E7C"/>
    <w:rsid w:val="009766BA"/>
    <w:rsid w:val="00980AE2"/>
    <w:rsid w:val="00996894"/>
    <w:rsid w:val="00996917"/>
    <w:rsid w:val="009B714B"/>
    <w:rsid w:val="009C3583"/>
    <w:rsid w:val="009C499E"/>
    <w:rsid w:val="009C7CB6"/>
    <w:rsid w:val="009C7E96"/>
    <w:rsid w:val="009D19D9"/>
    <w:rsid w:val="009D21B6"/>
    <w:rsid w:val="009E5726"/>
    <w:rsid w:val="009E7026"/>
    <w:rsid w:val="009F15B9"/>
    <w:rsid w:val="009F23AC"/>
    <w:rsid w:val="009F6D50"/>
    <w:rsid w:val="00A00ADE"/>
    <w:rsid w:val="00A01E22"/>
    <w:rsid w:val="00A02418"/>
    <w:rsid w:val="00A10CA7"/>
    <w:rsid w:val="00A13490"/>
    <w:rsid w:val="00A16507"/>
    <w:rsid w:val="00A23CBC"/>
    <w:rsid w:val="00A251F3"/>
    <w:rsid w:val="00A25A7F"/>
    <w:rsid w:val="00A2650E"/>
    <w:rsid w:val="00A327A4"/>
    <w:rsid w:val="00A32EE1"/>
    <w:rsid w:val="00A36A6C"/>
    <w:rsid w:val="00A502E1"/>
    <w:rsid w:val="00A511AB"/>
    <w:rsid w:val="00A51681"/>
    <w:rsid w:val="00A5286C"/>
    <w:rsid w:val="00A54F48"/>
    <w:rsid w:val="00A5573C"/>
    <w:rsid w:val="00A60C74"/>
    <w:rsid w:val="00A723DD"/>
    <w:rsid w:val="00A72AE9"/>
    <w:rsid w:val="00A72F67"/>
    <w:rsid w:val="00A747A1"/>
    <w:rsid w:val="00A809F2"/>
    <w:rsid w:val="00A8175C"/>
    <w:rsid w:val="00A819B7"/>
    <w:rsid w:val="00A85239"/>
    <w:rsid w:val="00A87DA1"/>
    <w:rsid w:val="00A9415D"/>
    <w:rsid w:val="00A943A1"/>
    <w:rsid w:val="00A9470A"/>
    <w:rsid w:val="00A94D24"/>
    <w:rsid w:val="00AA0F43"/>
    <w:rsid w:val="00AA4453"/>
    <w:rsid w:val="00AA5D0A"/>
    <w:rsid w:val="00AB000E"/>
    <w:rsid w:val="00AB0DD0"/>
    <w:rsid w:val="00AB6D79"/>
    <w:rsid w:val="00AB7BCA"/>
    <w:rsid w:val="00AC2F41"/>
    <w:rsid w:val="00AC3F75"/>
    <w:rsid w:val="00AC53A1"/>
    <w:rsid w:val="00AC544C"/>
    <w:rsid w:val="00AC5EA1"/>
    <w:rsid w:val="00AC6731"/>
    <w:rsid w:val="00AC7202"/>
    <w:rsid w:val="00AC77CE"/>
    <w:rsid w:val="00AD2306"/>
    <w:rsid w:val="00AD2FA2"/>
    <w:rsid w:val="00AD7F91"/>
    <w:rsid w:val="00AE2F79"/>
    <w:rsid w:val="00AE3239"/>
    <w:rsid w:val="00AE4663"/>
    <w:rsid w:val="00AF7C14"/>
    <w:rsid w:val="00AF7EC7"/>
    <w:rsid w:val="00B004BB"/>
    <w:rsid w:val="00B03D32"/>
    <w:rsid w:val="00B11641"/>
    <w:rsid w:val="00B144D2"/>
    <w:rsid w:val="00B23E64"/>
    <w:rsid w:val="00B31587"/>
    <w:rsid w:val="00B3602D"/>
    <w:rsid w:val="00B3726F"/>
    <w:rsid w:val="00B42C72"/>
    <w:rsid w:val="00B45672"/>
    <w:rsid w:val="00B56497"/>
    <w:rsid w:val="00B617F1"/>
    <w:rsid w:val="00B649B4"/>
    <w:rsid w:val="00B73063"/>
    <w:rsid w:val="00B7499A"/>
    <w:rsid w:val="00B7593F"/>
    <w:rsid w:val="00B8136C"/>
    <w:rsid w:val="00B81E8D"/>
    <w:rsid w:val="00B829A0"/>
    <w:rsid w:val="00B830D4"/>
    <w:rsid w:val="00B84E1E"/>
    <w:rsid w:val="00B92872"/>
    <w:rsid w:val="00B9369A"/>
    <w:rsid w:val="00B94C8C"/>
    <w:rsid w:val="00BA469B"/>
    <w:rsid w:val="00BA74D4"/>
    <w:rsid w:val="00BA7F6E"/>
    <w:rsid w:val="00BB0742"/>
    <w:rsid w:val="00BB2950"/>
    <w:rsid w:val="00BB2F07"/>
    <w:rsid w:val="00BB5A43"/>
    <w:rsid w:val="00BC59BD"/>
    <w:rsid w:val="00BC7256"/>
    <w:rsid w:val="00BD1E7D"/>
    <w:rsid w:val="00BD4011"/>
    <w:rsid w:val="00BD7B69"/>
    <w:rsid w:val="00BE3C80"/>
    <w:rsid w:val="00BE547B"/>
    <w:rsid w:val="00BE591D"/>
    <w:rsid w:val="00BF4E1F"/>
    <w:rsid w:val="00BF6702"/>
    <w:rsid w:val="00C00195"/>
    <w:rsid w:val="00C00956"/>
    <w:rsid w:val="00C03720"/>
    <w:rsid w:val="00C03B20"/>
    <w:rsid w:val="00C0611D"/>
    <w:rsid w:val="00C1145B"/>
    <w:rsid w:val="00C16660"/>
    <w:rsid w:val="00C21A0D"/>
    <w:rsid w:val="00C244D7"/>
    <w:rsid w:val="00C247AD"/>
    <w:rsid w:val="00C25BB1"/>
    <w:rsid w:val="00C35EC0"/>
    <w:rsid w:val="00C35FC5"/>
    <w:rsid w:val="00C40457"/>
    <w:rsid w:val="00C4169C"/>
    <w:rsid w:val="00C42900"/>
    <w:rsid w:val="00C50344"/>
    <w:rsid w:val="00C53865"/>
    <w:rsid w:val="00C570C0"/>
    <w:rsid w:val="00C63ED0"/>
    <w:rsid w:val="00C63ED6"/>
    <w:rsid w:val="00C63FDC"/>
    <w:rsid w:val="00C64E04"/>
    <w:rsid w:val="00C727E3"/>
    <w:rsid w:val="00C7613C"/>
    <w:rsid w:val="00C81AA3"/>
    <w:rsid w:val="00C82C1D"/>
    <w:rsid w:val="00C84828"/>
    <w:rsid w:val="00C8515A"/>
    <w:rsid w:val="00C91521"/>
    <w:rsid w:val="00C91C2E"/>
    <w:rsid w:val="00C94452"/>
    <w:rsid w:val="00CA3099"/>
    <w:rsid w:val="00CA6B23"/>
    <w:rsid w:val="00CA71E9"/>
    <w:rsid w:val="00CA78D9"/>
    <w:rsid w:val="00CC72C3"/>
    <w:rsid w:val="00CC7E8A"/>
    <w:rsid w:val="00CD33DC"/>
    <w:rsid w:val="00CE0C96"/>
    <w:rsid w:val="00CE71E9"/>
    <w:rsid w:val="00CF3FF0"/>
    <w:rsid w:val="00CF6FAF"/>
    <w:rsid w:val="00CF7A0B"/>
    <w:rsid w:val="00CF7BC0"/>
    <w:rsid w:val="00D119FA"/>
    <w:rsid w:val="00D11CB0"/>
    <w:rsid w:val="00D15292"/>
    <w:rsid w:val="00D1751D"/>
    <w:rsid w:val="00D3117D"/>
    <w:rsid w:val="00D32014"/>
    <w:rsid w:val="00D32959"/>
    <w:rsid w:val="00D33EA5"/>
    <w:rsid w:val="00D43882"/>
    <w:rsid w:val="00D44D58"/>
    <w:rsid w:val="00D47B1C"/>
    <w:rsid w:val="00D55E85"/>
    <w:rsid w:val="00D64DDB"/>
    <w:rsid w:val="00D66A6C"/>
    <w:rsid w:val="00D704A4"/>
    <w:rsid w:val="00D7147B"/>
    <w:rsid w:val="00D7200A"/>
    <w:rsid w:val="00D72044"/>
    <w:rsid w:val="00D74973"/>
    <w:rsid w:val="00D77DA6"/>
    <w:rsid w:val="00D81BE9"/>
    <w:rsid w:val="00D84C2A"/>
    <w:rsid w:val="00D93175"/>
    <w:rsid w:val="00D93314"/>
    <w:rsid w:val="00DA31F3"/>
    <w:rsid w:val="00DA3439"/>
    <w:rsid w:val="00DA5CE3"/>
    <w:rsid w:val="00DB202D"/>
    <w:rsid w:val="00DB482D"/>
    <w:rsid w:val="00DB6C58"/>
    <w:rsid w:val="00DC0624"/>
    <w:rsid w:val="00DC2283"/>
    <w:rsid w:val="00DC2C47"/>
    <w:rsid w:val="00DC3A73"/>
    <w:rsid w:val="00DC7202"/>
    <w:rsid w:val="00DD1765"/>
    <w:rsid w:val="00DD5768"/>
    <w:rsid w:val="00DE22E7"/>
    <w:rsid w:val="00DF3A64"/>
    <w:rsid w:val="00DF3CC7"/>
    <w:rsid w:val="00E04308"/>
    <w:rsid w:val="00E063EE"/>
    <w:rsid w:val="00E07A94"/>
    <w:rsid w:val="00E07E71"/>
    <w:rsid w:val="00E11417"/>
    <w:rsid w:val="00E16381"/>
    <w:rsid w:val="00E23E08"/>
    <w:rsid w:val="00E275B6"/>
    <w:rsid w:val="00E31FD9"/>
    <w:rsid w:val="00E43E0B"/>
    <w:rsid w:val="00E4539B"/>
    <w:rsid w:val="00E50855"/>
    <w:rsid w:val="00E51174"/>
    <w:rsid w:val="00E528C5"/>
    <w:rsid w:val="00E530CE"/>
    <w:rsid w:val="00E648B4"/>
    <w:rsid w:val="00E71D69"/>
    <w:rsid w:val="00E76033"/>
    <w:rsid w:val="00E77D20"/>
    <w:rsid w:val="00E87084"/>
    <w:rsid w:val="00EA0422"/>
    <w:rsid w:val="00EB1B02"/>
    <w:rsid w:val="00EB43BD"/>
    <w:rsid w:val="00EC1D62"/>
    <w:rsid w:val="00EC7012"/>
    <w:rsid w:val="00ED0674"/>
    <w:rsid w:val="00ED5C15"/>
    <w:rsid w:val="00EE1E3C"/>
    <w:rsid w:val="00EE2CBE"/>
    <w:rsid w:val="00EF2BC6"/>
    <w:rsid w:val="00F02F13"/>
    <w:rsid w:val="00F124BE"/>
    <w:rsid w:val="00F13B59"/>
    <w:rsid w:val="00F166E7"/>
    <w:rsid w:val="00F16BEF"/>
    <w:rsid w:val="00F17798"/>
    <w:rsid w:val="00F21DB4"/>
    <w:rsid w:val="00F24FEB"/>
    <w:rsid w:val="00F345B1"/>
    <w:rsid w:val="00F361F5"/>
    <w:rsid w:val="00F40119"/>
    <w:rsid w:val="00F44EE7"/>
    <w:rsid w:val="00F46DEF"/>
    <w:rsid w:val="00F470C7"/>
    <w:rsid w:val="00F6106E"/>
    <w:rsid w:val="00F6229B"/>
    <w:rsid w:val="00F64182"/>
    <w:rsid w:val="00F648EF"/>
    <w:rsid w:val="00F664A1"/>
    <w:rsid w:val="00F87C49"/>
    <w:rsid w:val="00F92E27"/>
    <w:rsid w:val="00F9609D"/>
    <w:rsid w:val="00FA5E22"/>
    <w:rsid w:val="00FB083A"/>
    <w:rsid w:val="00FB4A1F"/>
    <w:rsid w:val="00FC69D5"/>
    <w:rsid w:val="00FD4A61"/>
    <w:rsid w:val="00FF0902"/>
    <w:rsid w:val="00FF42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13"/>
    <w:pPr>
      <w:ind w:left="708"/>
      <w:jc w:val="both"/>
    </w:pPr>
    <w:rPr>
      <w:rFonts w:ascii="Arial" w:hAnsi="Arial" w:cs="Arial"/>
      <w:sz w:val="24"/>
      <w:szCs w:val="24"/>
    </w:rPr>
  </w:style>
  <w:style w:type="paragraph" w:styleId="Heading2">
    <w:name w:val="heading 2"/>
    <w:basedOn w:val="Normal"/>
    <w:link w:val="Heading2Char"/>
    <w:uiPriority w:val="9"/>
    <w:qFormat/>
    <w:rsid w:val="00A32EE1"/>
    <w:pPr>
      <w:spacing w:before="120"/>
      <w:ind w:left="0"/>
      <w:jc w:val="left"/>
      <w:outlineLvl w:val="1"/>
    </w:pPr>
    <w:rPr>
      <w:rFonts w:ascii="Georgia" w:hAnsi="Georgia" w:cs="Times New Roman"/>
      <w:b/>
      <w:bCs/>
      <w:color w:val="336699"/>
    </w:rPr>
  </w:style>
  <w:style w:type="paragraph" w:styleId="Heading3">
    <w:name w:val="heading 3"/>
    <w:basedOn w:val="Normal"/>
    <w:next w:val="Normal"/>
    <w:link w:val="Heading3Char"/>
    <w:qFormat/>
    <w:rsid w:val="00D55E85"/>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D55E85"/>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7B"/>
  </w:style>
  <w:style w:type="paragraph" w:styleId="Header">
    <w:name w:val="header"/>
    <w:basedOn w:val="Normal"/>
    <w:link w:val="HeaderChar"/>
    <w:rsid w:val="00A747A1"/>
    <w:pPr>
      <w:tabs>
        <w:tab w:val="center" w:pos="4252"/>
        <w:tab w:val="right" w:pos="8504"/>
      </w:tabs>
    </w:pPr>
  </w:style>
  <w:style w:type="character" w:customStyle="1" w:styleId="HeaderChar">
    <w:name w:val="Header Char"/>
    <w:basedOn w:val="DefaultParagraphFont"/>
    <w:link w:val="Header"/>
    <w:rsid w:val="00A747A1"/>
    <w:rPr>
      <w:sz w:val="24"/>
      <w:szCs w:val="24"/>
    </w:rPr>
  </w:style>
  <w:style w:type="paragraph" w:styleId="Footer">
    <w:name w:val="footer"/>
    <w:basedOn w:val="Normal"/>
    <w:link w:val="FooterChar"/>
    <w:uiPriority w:val="99"/>
    <w:rsid w:val="00A747A1"/>
    <w:pPr>
      <w:tabs>
        <w:tab w:val="center" w:pos="4252"/>
        <w:tab w:val="right" w:pos="8504"/>
      </w:tabs>
    </w:pPr>
  </w:style>
  <w:style w:type="character" w:customStyle="1" w:styleId="FooterChar">
    <w:name w:val="Footer Char"/>
    <w:basedOn w:val="DefaultParagraphFont"/>
    <w:link w:val="Footer"/>
    <w:uiPriority w:val="99"/>
    <w:rsid w:val="00A747A1"/>
    <w:rPr>
      <w:sz w:val="24"/>
      <w:szCs w:val="24"/>
    </w:rPr>
  </w:style>
  <w:style w:type="character" w:styleId="Strong">
    <w:name w:val="Strong"/>
    <w:basedOn w:val="DefaultParagraphFont"/>
    <w:uiPriority w:val="22"/>
    <w:qFormat/>
    <w:rsid w:val="0075611F"/>
    <w:rPr>
      <w:b/>
      <w:bCs/>
    </w:rPr>
  </w:style>
  <w:style w:type="paragraph" w:styleId="NormalWeb">
    <w:name w:val="Normal (Web)"/>
    <w:basedOn w:val="Normal"/>
    <w:uiPriority w:val="99"/>
    <w:unhideWhenUsed/>
    <w:rsid w:val="0075611F"/>
    <w:pPr>
      <w:spacing w:before="100" w:beforeAutospacing="1" w:after="100" w:afterAutospacing="1"/>
    </w:pPr>
  </w:style>
  <w:style w:type="character" w:styleId="Emphasis">
    <w:name w:val="Emphasis"/>
    <w:basedOn w:val="DefaultParagraphFont"/>
    <w:uiPriority w:val="20"/>
    <w:qFormat/>
    <w:rsid w:val="0075611F"/>
    <w:rPr>
      <w:i/>
      <w:iCs/>
    </w:rPr>
  </w:style>
  <w:style w:type="character" w:styleId="Hyperlink">
    <w:name w:val="Hyperlink"/>
    <w:basedOn w:val="DefaultParagraphFont"/>
    <w:uiPriority w:val="99"/>
    <w:unhideWhenUsed/>
    <w:rsid w:val="00227946"/>
    <w:rPr>
      <w:color w:val="0000FF"/>
      <w:u w:val="single"/>
    </w:rPr>
  </w:style>
  <w:style w:type="table" w:styleId="TableGrid">
    <w:name w:val="Table Grid"/>
    <w:basedOn w:val="TableNormal"/>
    <w:rsid w:val="00ED5C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76D90"/>
    <w:rPr>
      <w:rFonts w:ascii="Tahoma" w:hAnsi="Tahoma" w:cs="Tahoma"/>
      <w:sz w:val="16"/>
      <w:szCs w:val="16"/>
    </w:rPr>
  </w:style>
  <w:style w:type="character" w:customStyle="1" w:styleId="DocumentMapChar">
    <w:name w:val="Document Map Char"/>
    <w:basedOn w:val="DefaultParagraphFont"/>
    <w:link w:val="DocumentMap"/>
    <w:rsid w:val="00876D90"/>
    <w:rPr>
      <w:rFonts w:ascii="Tahoma" w:hAnsi="Tahoma" w:cs="Tahoma"/>
      <w:sz w:val="16"/>
      <w:szCs w:val="16"/>
    </w:rPr>
  </w:style>
  <w:style w:type="character" w:styleId="PageNumber">
    <w:name w:val="page number"/>
    <w:basedOn w:val="DefaultParagraphFont"/>
    <w:rsid w:val="00704F6D"/>
  </w:style>
  <w:style w:type="character" w:styleId="LineNumber">
    <w:name w:val="line number"/>
    <w:basedOn w:val="DefaultParagraphFont"/>
    <w:rsid w:val="006D6434"/>
  </w:style>
  <w:style w:type="character" w:customStyle="1" w:styleId="Heading2Char">
    <w:name w:val="Heading 2 Char"/>
    <w:basedOn w:val="DefaultParagraphFont"/>
    <w:link w:val="Heading2"/>
    <w:uiPriority w:val="9"/>
    <w:rsid w:val="00A32EE1"/>
    <w:rPr>
      <w:rFonts w:ascii="Georgia" w:hAnsi="Georgia"/>
      <w:b/>
      <w:bCs/>
      <w:color w:val="336699"/>
      <w:sz w:val="24"/>
      <w:szCs w:val="24"/>
    </w:rPr>
  </w:style>
  <w:style w:type="paragraph" w:customStyle="1" w:styleId="title1">
    <w:name w:val="title1"/>
    <w:basedOn w:val="Normal"/>
    <w:rsid w:val="00A32EE1"/>
    <w:pPr>
      <w:pBdr>
        <w:top w:val="single" w:sz="6" w:space="0" w:color="006699"/>
        <w:left w:val="single" w:sz="6" w:space="0" w:color="006699"/>
        <w:bottom w:val="single" w:sz="6" w:space="0" w:color="006699"/>
        <w:right w:val="single" w:sz="6" w:space="0" w:color="006699"/>
      </w:pBdr>
      <w:shd w:val="clear" w:color="auto" w:fill="3399CC"/>
      <w:spacing w:before="60" w:after="100" w:afterAutospacing="1" w:line="360" w:lineRule="atLeast"/>
      <w:ind w:left="0"/>
      <w:jc w:val="center"/>
    </w:pPr>
    <w:rPr>
      <w:rFonts w:ascii="Verdana" w:hAnsi="Verdana" w:cs="Times New Roman"/>
      <w:color w:val="FFFFFF"/>
      <w:sz w:val="18"/>
      <w:szCs w:val="18"/>
    </w:rPr>
  </w:style>
  <w:style w:type="character" w:customStyle="1" w:styleId="Heading3Char">
    <w:name w:val="Heading 3 Char"/>
    <w:basedOn w:val="DefaultParagraphFont"/>
    <w:link w:val="Heading3"/>
    <w:semiHidden/>
    <w:rsid w:val="00D55E85"/>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semiHidden/>
    <w:rsid w:val="00D55E85"/>
    <w:rPr>
      <w:rFonts w:ascii="Calibri" w:eastAsia="Times New Roman" w:hAnsi="Calibri" w:cs="Times New Roman"/>
      <w:b/>
      <w:bCs/>
      <w:sz w:val="28"/>
      <w:szCs w:val="28"/>
      <w:lang w:val="es-ES" w:eastAsia="es-ES"/>
    </w:rPr>
  </w:style>
  <w:style w:type="paragraph" w:customStyle="1" w:styleId="anadirdossier">
    <w:name w:val="anadirdossier"/>
    <w:basedOn w:val="Normal"/>
    <w:rsid w:val="00D55E85"/>
    <w:pPr>
      <w:spacing w:before="100" w:beforeAutospacing="1" w:after="100" w:afterAutospacing="1"/>
      <w:ind w:left="0"/>
      <w:jc w:val="left"/>
    </w:pPr>
    <w:rPr>
      <w:rFonts w:ascii="Times New Roman" w:hAnsi="Times New Roman" w:cs="Times New Roman"/>
      <w:lang w:val="es-SV" w:eastAsia="es-SV"/>
    </w:rPr>
  </w:style>
  <w:style w:type="paragraph" w:styleId="BalloonText">
    <w:name w:val="Balloon Text"/>
    <w:basedOn w:val="Normal"/>
    <w:link w:val="BalloonTextChar"/>
    <w:rsid w:val="00610186"/>
    <w:rPr>
      <w:rFonts w:ascii="Tahoma" w:hAnsi="Tahoma" w:cs="Tahoma"/>
      <w:sz w:val="16"/>
      <w:szCs w:val="16"/>
    </w:rPr>
  </w:style>
  <w:style w:type="character" w:customStyle="1" w:styleId="BalloonTextChar">
    <w:name w:val="Balloon Text Char"/>
    <w:basedOn w:val="DefaultParagraphFont"/>
    <w:link w:val="BalloonText"/>
    <w:rsid w:val="00610186"/>
    <w:rPr>
      <w:rFonts w:ascii="Tahoma" w:hAnsi="Tahoma" w:cs="Tahoma"/>
      <w:sz w:val="16"/>
      <w:szCs w:val="16"/>
      <w:lang w:val="es-ES" w:eastAsia="es-ES"/>
    </w:rPr>
  </w:style>
  <w:style w:type="table" w:styleId="LightList">
    <w:name w:val="Light List"/>
    <w:basedOn w:val="TableNormal"/>
    <w:uiPriority w:val="61"/>
    <w:rsid w:val="004D72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4D728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4D728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4D728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D7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543D4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Caption">
    <w:name w:val="caption"/>
    <w:basedOn w:val="Normal"/>
    <w:next w:val="Normal"/>
    <w:uiPriority w:val="35"/>
    <w:unhideWhenUsed/>
    <w:qFormat/>
    <w:rsid w:val="00CA3099"/>
    <w:pPr>
      <w:spacing w:after="200"/>
    </w:pPr>
    <w:rPr>
      <w:b/>
      <w:bCs/>
      <w:color w:val="4F81BD" w:themeColor="accent1"/>
      <w:sz w:val="18"/>
      <w:szCs w:val="18"/>
    </w:rPr>
  </w:style>
  <w:style w:type="table" w:styleId="MediumGrid3-Accent1">
    <w:name w:val="Medium Grid 3 Accent 1"/>
    <w:basedOn w:val="TableNormal"/>
    <w:uiPriority w:val="69"/>
    <w:rsid w:val="00086CA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086CA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13"/>
    <w:pPr>
      <w:ind w:left="708"/>
      <w:jc w:val="both"/>
    </w:pPr>
    <w:rPr>
      <w:rFonts w:ascii="Arial" w:hAnsi="Arial" w:cs="Arial"/>
      <w:sz w:val="24"/>
      <w:szCs w:val="24"/>
    </w:rPr>
  </w:style>
  <w:style w:type="paragraph" w:styleId="Heading2">
    <w:name w:val="heading 2"/>
    <w:basedOn w:val="Normal"/>
    <w:link w:val="Heading2Char"/>
    <w:uiPriority w:val="9"/>
    <w:qFormat/>
    <w:rsid w:val="00A32EE1"/>
    <w:pPr>
      <w:spacing w:before="120"/>
      <w:ind w:left="0"/>
      <w:jc w:val="left"/>
      <w:outlineLvl w:val="1"/>
    </w:pPr>
    <w:rPr>
      <w:rFonts w:ascii="Georgia" w:hAnsi="Georgia" w:cs="Times New Roman"/>
      <w:b/>
      <w:bCs/>
      <w:color w:val="336699"/>
    </w:rPr>
  </w:style>
  <w:style w:type="paragraph" w:styleId="Heading3">
    <w:name w:val="heading 3"/>
    <w:basedOn w:val="Normal"/>
    <w:next w:val="Normal"/>
    <w:link w:val="Heading3Char"/>
    <w:qFormat/>
    <w:rsid w:val="00D55E85"/>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D55E85"/>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7B"/>
  </w:style>
  <w:style w:type="paragraph" w:styleId="Header">
    <w:name w:val="header"/>
    <w:basedOn w:val="Normal"/>
    <w:link w:val="HeaderChar"/>
    <w:rsid w:val="00A747A1"/>
    <w:pPr>
      <w:tabs>
        <w:tab w:val="center" w:pos="4252"/>
        <w:tab w:val="right" w:pos="8504"/>
      </w:tabs>
    </w:pPr>
  </w:style>
  <w:style w:type="character" w:customStyle="1" w:styleId="HeaderChar">
    <w:name w:val="Header Char"/>
    <w:basedOn w:val="DefaultParagraphFont"/>
    <w:link w:val="Header"/>
    <w:rsid w:val="00A747A1"/>
    <w:rPr>
      <w:sz w:val="24"/>
      <w:szCs w:val="24"/>
    </w:rPr>
  </w:style>
  <w:style w:type="paragraph" w:styleId="Footer">
    <w:name w:val="footer"/>
    <w:basedOn w:val="Normal"/>
    <w:link w:val="FooterChar"/>
    <w:uiPriority w:val="99"/>
    <w:rsid w:val="00A747A1"/>
    <w:pPr>
      <w:tabs>
        <w:tab w:val="center" w:pos="4252"/>
        <w:tab w:val="right" w:pos="8504"/>
      </w:tabs>
    </w:pPr>
  </w:style>
  <w:style w:type="character" w:customStyle="1" w:styleId="FooterChar">
    <w:name w:val="Footer Char"/>
    <w:basedOn w:val="DefaultParagraphFont"/>
    <w:link w:val="Footer"/>
    <w:uiPriority w:val="99"/>
    <w:rsid w:val="00A747A1"/>
    <w:rPr>
      <w:sz w:val="24"/>
      <w:szCs w:val="24"/>
    </w:rPr>
  </w:style>
  <w:style w:type="character" w:styleId="Strong">
    <w:name w:val="Strong"/>
    <w:basedOn w:val="DefaultParagraphFont"/>
    <w:uiPriority w:val="22"/>
    <w:qFormat/>
    <w:rsid w:val="0075611F"/>
    <w:rPr>
      <w:b/>
      <w:bCs/>
    </w:rPr>
  </w:style>
  <w:style w:type="paragraph" w:styleId="NormalWeb">
    <w:name w:val="Normal (Web)"/>
    <w:basedOn w:val="Normal"/>
    <w:uiPriority w:val="99"/>
    <w:unhideWhenUsed/>
    <w:rsid w:val="0075611F"/>
    <w:pPr>
      <w:spacing w:before="100" w:beforeAutospacing="1" w:after="100" w:afterAutospacing="1"/>
    </w:pPr>
  </w:style>
  <w:style w:type="character" w:styleId="Emphasis">
    <w:name w:val="Emphasis"/>
    <w:basedOn w:val="DefaultParagraphFont"/>
    <w:uiPriority w:val="20"/>
    <w:qFormat/>
    <w:rsid w:val="0075611F"/>
    <w:rPr>
      <w:i/>
      <w:iCs/>
    </w:rPr>
  </w:style>
  <w:style w:type="character" w:styleId="Hyperlink">
    <w:name w:val="Hyperlink"/>
    <w:basedOn w:val="DefaultParagraphFont"/>
    <w:uiPriority w:val="99"/>
    <w:unhideWhenUsed/>
    <w:rsid w:val="00227946"/>
    <w:rPr>
      <w:color w:val="0000FF"/>
      <w:u w:val="single"/>
    </w:rPr>
  </w:style>
  <w:style w:type="table" w:styleId="TableGrid">
    <w:name w:val="Table Grid"/>
    <w:basedOn w:val="TableNormal"/>
    <w:rsid w:val="00ED5C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876D90"/>
    <w:rPr>
      <w:rFonts w:ascii="Tahoma" w:hAnsi="Tahoma" w:cs="Tahoma"/>
      <w:sz w:val="16"/>
      <w:szCs w:val="16"/>
    </w:rPr>
  </w:style>
  <w:style w:type="character" w:customStyle="1" w:styleId="DocumentMapChar">
    <w:name w:val="Document Map Char"/>
    <w:basedOn w:val="DefaultParagraphFont"/>
    <w:link w:val="DocumentMap"/>
    <w:rsid w:val="00876D90"/>
    <w:rPr>
      <w:rFonts w:ascii="Tahoma" w:hAnsi="Tahoma" w:cs="Tahoma"/>
      <w:sz w:val="16"/>
      <w:szCs w:val="16"/>
    </w:rPr>
  </w:style>
  <w:style w:type="character" w:styleId="PageNumber">
    <w:name w:val="page number"/>
    <w:basedOn w:val="DefaultParagraphFont"/>
    <w:rsid w:val="00704F6D"/>
  </w:style>
  <w:style w:type="character" w:styleId="LineNumber">
    <w:name w:val="line number"/>
    <w:basedOn w:val="DefaultParagraphFont"/>
    <w:rsid w:val="006D6434"/>
  </w:style>
  <w:style w:type="character" w:customStyle="1" w:styleId="Heading2Char">
    <w:name w:val="Heading 2 Char"/>
    <w:basedOn w:val="DefaultParagraphFont"/>
    <w:link w:val="Heading2"/>
    <w:uiPriority w:val="9"/>
    <w:rsid w:val="00A32EE1"/>
    <w:rPr>
      <w:rFonts w:ascii="Georgia" w:hAnsi="Georgia"/>
      <w:b/>
      <w:bCs/>
      <w:color w:val="336699"/>
      <w:sz w:val="24"/>
      <w:szCs w:val="24"/>
    </w:rPr>
  </w:style>
  <w:style w:type="paragraph" w:customStyle="1" w:styleId="title1">
    <w:name w:val="title1"/>
    <w:basedOn w:val="Normal"/>
    <w:rsid w:val="00A32EE1"/>
    <w:pPr>
      <w:pBdr>
        <w:top w:val="single" w:sz="6" w:space="0" w:color="006699"/>
        <w:left w:val="single" w:sz="6" w:space="0" w:color="006699"/>
        <w:bottom w:val="single" w:sz="6" w:space="0" w:color="006699"/>
        <w:right w:val="single" w:sz="6" w:space="0" w:color="006699"/>
      </w:pBdr>
      <w:shd w:val="clear" w:color="auto" w:fill="3399CC"/>
      <w:spacing w:before="60" w:after="100" w:afterAutospacing="1" w:line="360" w:lineRule="atLeast"/>
      <w:ind w:left="0"/>
      <w:jc w:val="center"/>
    </w:pPr>
    <w:rPr>
      <w:rFonts w:ascii="Verdana" w:hAnsi="Verdana" w:cs="Times New Roman"/>
      <w:color w:val="FFFFFF"/>
      <w:sz w:val="18"/>
      <w:szCs w:val="18"/>
    </w:rPr>
  </w:style>
  <w:style w:type="character" w:customStyle="1" w:styleId="Heading3Char">
    <w:name w:val="Heading 3 Char"/>
    <w:basedOn w:val="DefaultParagraphFont"/>
    <w:link w:val="Heading3"/>
    <w:semiHidden/>
    <w:rsid w:val="00D55E85"/>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semiHidden/>
    <w:rsid w:val="00D55E85"/>
    <w:rPr>
      <w:rFonts w:ascii="Calibri" w:eastAsia="Times New Roman" w:hAnsi="Calibri" w:cs="Times New Roman"/>
      <w:b/>
      <w:bCs/>
      <w:sz w:val="28"/>
      <w:szCs w:val="28"/>
      <w:lang w:val="es-ES" w:eastAsia="es-ES"/>
    </w:rPr>
  </w:style>
  <w:style w:type="paragraph" w:customStyle="1" w:styleId="anadirdossier">
    <w:name w:val="anadirdossier"/>
    <w:basedOn w:val="Normal"/>
    <w:rsid w:val="00D55E85"/>
    <w:pPr>
      <w:spacing w:before="100" w:beforeAutospacing="1" w:after="100" w:afterAutospacing="1"/>
      <w:ind w:left="0"/>
      <w:jc w:val="left"/>
    </w:pPr>
    <w:rPr>
      <w:rFonts w:ascii="Times New Roman" w:hAnsi="Times New Roman" w:cs="Times New Roman"/>
      <w:lang w:val="es-SV" w:eastAsia="es-SV"/>
    </w:rPr>
  </w:style>
  <w:style w:type="paragraph" w:styleId="BalloonText">
    <w:name w:val="Balloon Text"/>
    <w:basedOn w:val="Normal"/>
    <w:link w:val="BalloonTextChar"/>
    <w:rsid w:val="00610186"/>
    <w:rPr>
      <w:rFonts w:ascii="Tahoma" w:hAnsi="Tahoma" w:cs="Tahoma"/>
      <w:sz w:val="16"/>
      <w:szCs w:val="16"/>
    </w:rPr>
  </w:style>
  <w:style w:type="character" w:customStyle="1" w:styleId="BalloonTextChar">
    <w:name w:val="Balloon Text Char"/>
    <w:basedOn w:val="DefaultParagraphFont"/>
    <w:link w:val="BalloonText"/>
    <w:rsid w:val="00610186"/>
    <w:rPr>
      <w:rFonts w:ascii="Tahoma" w:hAnsi="Tahoma" w:cs="Tahoma"/>
      <w:sz w:val="16"/>
      <w:szCs w:val="16"/>
      <w:lang w:val="es-ES" w:eastAsia="es-ES"/>
    </w:rPr>
  </w:style>
  <w:style w:type="table" w:styleId="LightList">
    <w:name w:val="Light List"/>
    <w:basedOn w:val="TableNormal"/>
    <w:uiPriority w:val="61"/>
    <w:rsid w:val="004D72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4D728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4D728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4D728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D7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543D4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Caption">
    <w:name w:val="caption"/>
    <w:basedOn w:val="Normal"/>
    <w:next w:val="Normal"/>
    <w:uiPriority w:val="35"/>
    <w:unhideWhenUsed/>
    <w:qFormat/>
    <w:rsid w:val="00CA3099"/>
    <w:pPr>
      <w:spacing w:after="200"/>
    </w:pPr>
    <w:rPr>
      <w:b/>
      <w:bCs/>
      <w:color w:val="4F81BD" w:themeColor="accent1"/>
      <w:sz w:val="18"/>
      <w:szCs w:val="18"/>
    </w:rPr>
  </w:style>
  <w:style w:type="table" w:styleId="MediumGrid3-Accent1">
    <w:name w:val="Medium Grid 3 Accent 1"/>
    <w:basedOn w:val="TableNormal"/>
    <w:uiPriority w:val="69"/>
    <w:rsid w:val="00086CA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086CA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5899">
      <w:bodyDiv w:val="1"/>
      <w:marLeft w:val="0"/>
      <w:marRight w:val="0"/>
      <w:marTop w:val="0"/>
      <w:marBottom w:val="0"/>
      <w:divBdr>
        <w:top w:val="none" w:sz="0" w:space="0" w:color="auto"/>
        <w:left w:val="none" w:sz="0" w:space="0" w:color="auto"/>
        <w:bottom w:val="none" w:sz="0" w:space="0" w:color="auto"/>
        <w:right w:val="none" w:sz="0" w:space="0" w:color="auto"/>
      </w:divBdr>
    </w:div>
    <w:div w:id="482505604">
      <w:bodyDiv w:val="1"/>
      <w:marLeft w:val="0"/>
      <w:marRight w:val="0"/>
      <w:marTop w:val="0"/>
      <w:marBottom w:val="0"/>
      <w:divBdr>
        <w:top w:val="none" w:sz="0" w:space="0" w:color="auto"/>
        <w:left w:val="none" w:sz="0" w:space="0" w:color="auto"/>
        <w:bottom w:val="none" w:sz="0" w:space="0" w:color="auto"/>
        <w:right w:val="none" w:sz="0" w:space="0" w:color="auto"/>
      </w:divBdr>
    </w:div>
    <w:div w:id="599610222">
      <w:bodyDiv w:val="1"/>
      <w:marLeft w:val="0"/>
      <w:marRight w:val="0"/>
      <w:marTop w:val="0"/>
      <w:marBottom w:val="0"/>
      <w:divBdr>
        <w:top w:val="none" w:sz="0" w:space="0" w:color="auto"/>
        <w:left w:val="none" w:sz="0" w:space="0" w:color="auto"/>
        <w:bottom w:val="none" w:sz="0" w:space="0" w:color="auto"/>
        <w:right w:val="none" w:sz="0" w:space="0" w:color="auto"/>
      </w:divBdr>
      <w:divsChild>
        <w:div w:id="1335493065">
          <w:marLeft w:val="0"/>
          <w:marRight w:val="0"/>
          <w:marTop w:val="0"/>
          <w:marBottom w:val="0"/>
          <w:divBdr>
            <w:top w:val="none" w:sz="0" w:space="0" w:color="auto"/>
            <w:left w:val="none" w:sz="0" w:space="0" w:color="auto"/>
            <w:bottom w:val="none" w:sz="0" w:space="0" w:color="auto"/>
            <w:right w:val="none" w:sz="0" w:space="0" w:color="auto"/>
          </w:divBdr>
        </w:div>
      </w:divsChild>
    </w:div>
    <w:div w:id="744649984">
      <w:bodyDiv w:val="1"/>
      <w:marLeft w:val="0"/>
      <w:marRight w:val="0"/>
      <w:marTop w:val="0"/>
      <w:marBottom w:val="0"/>
      <w:divBdr>
        <w:top w:val="none" w:sz="0" w:space="0" w:color="auto"/>
        <w:left w:val="none" w:sz="0" w:space="0" w:color="auto"/>
        <w:bottom w:val="none" w:sz="0" w:space="0" w:color="auto"/>
        <w:right w:val="none" w:sz="0" w:space="0" w:color="auto"/>
      </w:divBdr>
    </w:div>
    <w:div w:id="948119603">
      <w:bodyDiv w:val="1"/>
      <w:marLeft w:val="0"/>
      <w:marRight w:val="0"/>
      <w:marTop w:val="0"/>
      <w:marBottom w:val="0"/>
      <w:divBdr>
        <w:top w:val="none" w:sz="0" w:space="0" w:color="auto"/>
        <w:left w:val="none" w:sz="0" w:space="0" w:color="auto"/>
        <w:bottom w:val="none" w:sz="0" w:space="0" w:color="auto"/>
        <w:right w:val="none" w:sz="0" w:space="0" w:color="auto"/>
      </w:divBdr>
      <w:divsChild>
        <w:div w:id="1781339292">
          <w:marLeft w:val="0"/>
          <w:marRight w:val="0"/>
          <w:marTop w:val="0"/>
          <w:marBottom w:val="0"/>
          <w:divBdr>
            <w:top w:val="none" w:sz="0" w:space="0" w:color="auto"/>
            <w:left w:val="none" w:sz="0" w:space="0" w:color="auto"/>
            <w:bottom w:val="none" w:sz="0" w:space="0" w:color="auto"/>
            <w:right w:val="none" w:sz="0" w:space="0" w:color="auto"/>
          </w:divBdr>
          <w:divsChild>
            <w:div w:id="490369742">
              <w:marLeft w:val="0"/>
              <w:marRight w:val="0"/>
              <w:marTop w:val="0"/>
              <w:marBottom w:val="0"/>
              <w:divBdr>
                <w:top w:val="none" w:sz="0" w:space="0" w:color="auto"/>
                <w:left w:val="none" w:sz="0" w:space="0" w:color="auto"/>
                <w:bottom w:val="none" w:sz="0" w:space="0" w:color="auto"/>
                <w:right w:val="none" w:sz="0" w:space="0" w:color="auto"/>
              </w:divBdr>
              <w:divsChild>
                <w:div w:id="1022127262">
                  <w:marLeft w:val="0"/>
                  <w:marRight w:val="0"/>
                  <w:marTop w:val="0"/>
                  <w:marBottom w:val="0"/>
                  <w:divBdr>
                    <w:top w:val="none" w:sz="0" w:space="0" w:color="auto"/>
                    <w:left w:val="none" w:sz="0" w:space="0" w:color="auto"/>
                    <w:bottom w:val="none" w:sz="0" w:space="0" w:color="auto"/>
                    <w:right w:val="none" w:sz="0" w:space="0" w:color="auto"/>
                  </w:divBdr>
                  <w:divsChild>
                    <w:div w:id="1645965415">
                      <w:marLeft w:val="0"/>
                      <w:marRight w:val="0"/>
                      <w:marTop w:val="0"/>
                      <w:marBottom w:val="0"/>
                      <w:divBdr>
                        <w:top w:val="none" w:sz="0" w:space="0" w:color="auto"/>
                        <w:left w:val="none" w:sz="0" w:space="0" w:color="auto"/>
                        <w:bottom w:val="none" w:sz="0" w:space="0" w:color="auto"/>
                        <w:right w:val="none" w:sz="0" w:space="0" w:color="auto"/>
                      </w:divBdr>
                      <w:divsChild>
                        <w:div w:id="2103447906">
                          <w:marLeft w:val="0"/>
                          <w:marRight w:val="0"/>
                          <w:marTop w:val="0"/>
                          <w:marBottom w:val="0"/>
                          <w:divBdr>
                            <w:top w:val="none" w:sz="0" w:space="0" w:color="auto"/>
                            <w:left w:val="none" w:sz="0" w:space="0" w:color="auto"/>
                            <w:bottom w:val="none" w:sz="0" w:space="0" w:color="auto"/>
                            <w:right w:val="none" w:sz="0" w:space="0" w:color="auto"/>
                          </w:divBdr>
                          <w:divsChild>
                            <w:div w:id="15091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44500">
      <w:bodyDiv w:val="1"/>
      <w:marLeft w:val="0"/>
      <w:marRight w:val="0"/>
      <w:marTop w:val="0"/>
      <w:marBottom w:val="0"/>
      <w:divBdr>
        <w:top w:val="none" w:sz="0" w:space="0" w:color="auto"/>
        <w:left w:val="none" w:sz="0" w:space="0" w:color="auto"/>
        <w:bottom w:val="none" w:sz="0" w:space="0" w:color="auto"/>
        <w:right w:val="none" w:sz="0" w:space="0" w:color="auto"/>
      </w:divBdr>
      <w:divsChild>
        <w:div w:id="42533603">
          <w:marLeft w:val="0"/>
          <w:marRight w:val="0"/>
          <w:marTop w:val="0"/>
          <w:marBottom w:val="0"/>
          <w:divBdr>
            <w:top w:val="none" w:sz="0" w:space="0" w:color="auto"/>
            <w:left w:val="none" w:sz="0" w:space="0" w:color="auto"/>
            <w:bottom w:val="none" w:sz="0" w:space="0" w:color="auto"/>
            <w:right w:val="none" w:sz="0" w:space="0" w:color="auto"/>
          </w:divBdr>
        </w:div>
        <w:div w:id="1020934887">
          <w:marLeft w:val="0"/>
          <w:marRight w:val="0"/>
          <w:marTop w:val="0"/>
          <w:marBottom w:val="0"/>
          <w:divBdr>
            <w:top w:val="none" w:sz="0" w:space="0" w:color="auto"/>
            <w:left w:val="none" w:sz="0" w:space="0" w:color="auto"/>
            <w:bottom w:val="none" w:sz="0" w:space="0" w:color="auto"/>
            <w:right w:val="none" w:sz="0" w:space="0" w:color="auto"/>
          </w:divBdr>
        </w:div>
      </w:divsChild>
    </w:div>
    <w:div w:id="1271936251">
      <w:bodyDiv w:val="1"/>
      <w:marLeft w:val="0"/>
      <w:marRight w:val="0"/>
      <w:marTop w:val="0"/>
      <w:marBottom w:val="0"/>
      <w:divBdr>
        <w:top w:val="none" w:sz="0" w:space="0" w:color="auto"/>
        <w:left w:val="none" w:sz="0" w:space="0" w:color="auto"/>
        <w:bottom w:val="none" w:sz="0" w:space="0" w:color="auto"/>
        <w:right w:val="none" w:sz="0" w:space="0" w:color="auto"/>
      </w:divBdr>
      <w:divsChild>
        <w:div w:id="1612123212">
          <w:marLeft w:val="12"/>
          <w:marRight w:val="12"/>
          <w:marTop w:val="0"/>
          <w:marBottom w:val="0"/>
          <w:divBdr>
            <w:top w:val="none" w:sz="0" w:space="0" w:color="auto"/>
            <w:left w:val="none" w:sz="0" w:space="0" w:color="auto"/>
            <w:bottom w:val="none" w:sz="0" w:space="0" w:color="auto"/>
            <w:right w:val="none" w:sz="0" w:space="0" w:color="auto"/>
          </w:divBdr>
          <w:divsChild>
            <w:div w:id="1765688991">
              <w:marLeft w:val="0"/>
              <w:marRight w:val="0"/>
              <w:marTop w:val="0"/>
              <w:marBottom w:val="0"/>
              <w:divBdr>
                <w:top w:val="none" w:sz="0" w:space="0" w:color="auto"/>
                <w:left w:val="none" w:sz="0" w:space="0" w:color="auto"/>
                <w:bottom w:val="none" w:sz="0" w:space="0" w:color="auto"/>
                <w:right w:val="none" w:sz="0" w:space="0" w:color="auto"/>
              </w:divBdr>
              <w:divsChild>
                <w:div w:id="594554301">
                  <w:marLeft w:val="0"/>
                  <w:marRight w:val="0"/>
                  <w:marTop w:val="0"/>
                  <w:marBottom w:val="0"/>
                  <w:divBdr>
                    <w:top w:val="none" w:sz="0" w:space="0" w:color="auto"/>
                    <w:left w:val="none" w:sz="0" w:space="0" w:color="auto"/>
                    <w:bottom w:val="none" w:sz="0" w:space="0" w:color="auto"/>
                    <w:right w:val="none" w:sz="0" w:space="0" w:color="auto"/>
                  </w:divBdr>
                  <w:divsChild>
                    <w:div w:id="1787117116">
                      <w:marLeft w:val="0"/>
                      <w:marRight w:val="0"/>
                      <w:marTop w:val="0"/>
                      <w:marBottom w:val="0"/>
                      <w:divBdr>
                        <w:top w:val="none" w:sz="0" w:space="0" w:color="auto"/>
                        <w:left w:val="none" w:sz="0" w:space="0" w:color="auto"/>
                        <w:bottom w:val="none" w:sz="0" w:space="0" w:color="auto"/>
                        <w:right w:val="none" w:sz="0" w:space="0" w:color="auto"/>
                      </w:divBdr>
                    </w:div>
                  </w:divsChild>
                </w:div>
                <w:div w:id="1404109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71825053">
      <w:bodyDiv w:val="1"/>
      <w:marLeft w:val="0"/>
      <w:marRight w:val="0"/>
      <w:marTop w:val="0"/>
      <w:marBottom w:val="0"/>
      <w:divBdr>
        <w:top w:val="none" w:sz="0" w:space="0" w:color="auto"/>
        <w:left w:val="none" w:sz="0" w:space="0" w:color="auto"/>
        <w:bottom w:val="none" w:sz="0" w:space="0" w:color="auto"/>
        <w:right w:val="none" w:sz="0" w:space="0" w:color="auto"/>
      </w:divBdr>
    </w:div>
    <w:div w:id="1622809107">
      <w:bodyDiv w:val="1"/>
      <w:marLeft w:val="0"/>
      <w:marRight w:val="0"/>
      <w:marTop w:val="0"/>
      <w:marBottom w:val="0"/>
      <w:divBdr>
        <w:top w:val="none" w:sz="0" w:space="0" w:color="auto"/>
        <w:left w:val="none" w:sz="0" w:space="0" w:color="auto"/>
        <w:bottom w:val="none" w:sz="0" w:space="0" w:color="auto"/>
        <w:right w:val="none" w:sz="0" w:space="0" w:color="auto"/>
      </w:divBdr>
      <w:divsChild>
        <w:div w:id="96994015">
          <w:marLeft w:val="0"/>
          <w:marRight w:val="0"/>
          <w:marTop w:val="0"/>
          <w:marBottom w:val="0"/>
          <w:divBdr>
            <w:top w:val="none" w:sz="0" w:space="0" w:color="auto"/>
            <w:left w:val="none" w:sz="0" w:space="0" w:color="auto"/>
            <w:bottom w:val="none" w:sz="0" w:space="0" w:color="auto"/>
            <w:right w:val="none" w:sz="0" w:space="0" w:color="auto"/>
          </w:divBdr>
        </w:div>
        <w:div w:id="1255283336">
          <w:marLeft w:val="0"/>
          <w:marRight w:val="0"/>
          <w:marTop w:val="0"/>
          <w:marBottom w:val="0"/>
          <w:divBdr>
            <w:top w:val="none" w:sz="0" w:space="0" w:color="auto"/>
            <w:left w:val="none" w:sz="0" w:space="0" w:color="auto"/>
            <w:bottom w:val="none" w:sz="0" w:space="0" w:color="auto"/>
            <w:right w:val="none" w:sz="0" w:space="0" w:color="auto"/>
          </w:divBdr>
        </w:div>
        <w:div w:id="1293748224">
          <w:marLeft w:val="0"/>
          <w:marRight w:val="0"/>
          <w:marTop w:val="0"/>
          <w:marBottom w:val="0"/>
          <w:divBdr>
            <w:top w:val="none" w:sz="0" w:space="0" w:color="auto"/>
            <w:left w:val="none" w:sz="0" w:space="0" w:color="auto"/>
            <w:bottom w:val="none" w:sz="0" w:space="0" w:color="auto"/>
            <w:right w:val="none" w:sz="0" w:space="0" w:color="auto"/>
          </w:divBdr>
        </w:div>
      </w:divsChild>
    </w:div>
    <w:div w:id="1655135927">
      <w:bodyDiv w:val="1"/>
      <w:marLeft w:val="0"/>
      <w:marRight w:val="0"/>
      <w:marTop w:val="0"/>
      <w:marBottom w:val="0"/>
      <w:divBdr>
        <w:top w:val="none" w:sz="0" w:space="0" w:color="auto"/>
        <w:left w:val="none" w:sz="0" w:space="0" w:color="auto"/>
        <w:bottom w:val="none" w:sz="0" w:space="0" w:color="auto"/>
        <w:right w:val="none" w:sz="0" w:space="0" w:color="auto"/>
      </w:divBdr>
    </w:div>
    <w:div w:id="1702970692">
      <w:bodyDiv w:val="1"/>
      <w:marLeft w:val="0"/>
      <w:marRight w:val="0"/>
      <w:marTop w:val="0"/>
      <w:marBottom w:val="0"/>
      <w:divBdr>
        <w:top w:val="none" w:sz="0" w:space="0" w:color="auto"/>
        <w:left w:val="none" w:sz="0" w:space="0" w:color="auto"/>
        <w:bottom w:val="none" w:sz="0" w:space="0" w:color="auto"/>
        <w:right w:val="none" w:sz="0" w:space="0" w:color="auto"/>
      </w:divBdr>
    </w:div>
    <w:div w:id="1959994833">
      <w:bodyDiv w:val="1"/>
      <w:marLeft w:val="0"/>
      <w:marRight w:val="0"/>
      <w:marTop w:val="0"/>
      <w:marBottom w:val="0"/>
      <w:divBdr>
        <w:top w:val="none" w:sz="0" w:space="0" w:color="auto"/>
        <w:left w:val="none" w:sz="0" w:space="0" w:color="auto"/>
        <w:bottom w:val="none" w:sz="0" w:space="0" w:color="auto"/>
        <w:right w:val="none" w:sz="0" w:space="0" w:color="auto"/>
      </w:divBdr>
      <w:divsChild>
        <w:div w:id="196634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2697">
      <w:bodyDiv w:val="1"/>
      <w:marLeft w:val="0"/>
      <w:marRight w:val="0"/>
      <w:marTop w:val="0"/>
      <w:marBottom w:val="0"/>
      <w:divBdr>
        <w:top w:val="none" w:sz="0" w:space="0" w:color="auto"/>
        <w:left w:val="none" w:sz="0" w:space="0" w:color="auto"/>
        <w:bottom w:val="none" w:sz="0" w:space="0" w:color="auto"/>
        <w:right w:val="none" w:sz="0" w:space="0" w:color="auto"/>
      </w:divBdr>
      <w:divsChild>
        <w:div w:id="979766076">
          <w:marLeft w:val="0"/>
          <w:marRight w:val="0"/>
          <w:marTop w:val="0"/>
          <w:marBottom w:val="0"/>
          <w:divBdr>
            <w:top w:val="none" w:sz="0" w:space="0" w:color="auto"/>
            <w:left w:val="none" w:sz="0" w:space="0" w:color="auto"/>
            <w:bottom w:val="none" w:sz="0" w:space="0" w:color="auto"/>
            <w:right w:val="none" w:sz="0" w:space="0" w:color="auto"/>
          </w:divBdr>
          <w:divsChild>
            <w:div w:id="986514999">
              <w:blockQuote w:val="1"/>
              <w:marLeft w:val="720"/>
              <w:marRight w:val="720"/>
              <w:marTop w:val="0"/>
              <w:marBottom w:val="0"/>
              <w:divBdr>
                <w:top w:val="none" w:sz="0" w:space="0" w:color="auto"/>
                <w:left w:val="none" w:sz="0" w:space="0" w:color="auto"/>
                <w:bottom w:val="none" w:sz="0" w:space="0" w:color="auto"/>
                <w:right w:val="none" w:sz="0" w:space="0" w:color="auto"/>
              </w:divBdr>
              <w:divsChild>
                <w:div w:id="4524856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26314325">
          <w:marLeft w:val="0"/>
          <w:marRight w:val="0"/>
          <w:marTop w:val="0"/>
          <w:marBottom w:val="0"/>
          <w:divBdr>
            <w:top w:val="none" w:sz="0" w:space="0" w:color="auto"/>
            <w:left w:val="none" w:sz="0" w:space="0" w:color="auto"/>
            <w:bottom w:val="none" w:sz="0" w:space="0" w:color="auto"/>
            <w:right w:val="none" w:sz="0" w:space="0" w:color="auto"/>
          </w:divBdr>
          <w:divsChild>
            <w:div w:id="571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lgn="ctr">
              <a:defRPr lang="es-SV"/>
            </a:pPr>
            <a:r>
              <a:rPr lang="en-US" sz="1200"/>
              <a:t>Efectividad de la escala UNAL en Hemorrogia Digestiva Alta Activa en los usuarios de los Hospitales Mèdico Quirùrgico y General del ISSS. Mayo a Septiembre 2011. </a:t>
            </a:r>
          </a:p>
        </c:rich>
      </c:tx>
      <c:overlay val="0"/>
    </c:title>
    <c:autoTitleDeleted val="0"/>
    <c:plotArea>
      <c:layout/>
      <c:barChart>
        <c:barDir val="col"/>
        <c:grouping val="clustered"/>
        <c:varyColors val="0"/>
        <c:ser>
          <c:idx val="0"/>
          <c:order val="0"/>
          <c:tx>
            <c:strRef>
              <c:f>Hoja1!$B$1</c:f>
              <c:strCache>
                <c:ptCount val="1"/>
                <c:pt idx="0">
                  <c:v>Sangrado activo</c:v>
                </c:pt>
              </c:strCache>
            </c:strRef>
          </c:tx>
          <c:invertIfNegative val="0"/>
          <c:dLbls>
            <c:txPr>
              <a:bodyPr/>
              <a:lstStyle/>
              <a:p>
                <a:pPr>
                  <a:defRPr lang="es-SV"/>
                </a:pPr>
                <a:endParaRPr lang="es-SV"/>
              </a:p>
            </c:txPr>
            <c:showLegendKey val="0"/>
            <c:showVal val="1"/>
            <c:showCatName val="0"/>
            <c:showSerName val="0"/>
            <c:showPercent val="0"/>
            <c:showBubbleSize val="0"/>
            <c:showLeaderLines val="0"/>
          </c:dLbls>
          <c:cat>
            <c:strRef>
              <c:f>Hoja1!$A$2:$A$3</c:f>
              <c:strCache>
                <c:ptCount val="2"/>
                <c:pt idx="0">
                  <c:v>puntaje mayor de 7 puntos</c:v>
                </c:pt>
                <c:pt idx="1">
                  <c:v>puntaje menor de 7 puntos</c:v>
                </c:pt>
              </c:strCache>
            </c:strRef>
          </c:cat>
          <c:val>
            <c:numRef>
              <c:f>Hoja1!$B$2:$B$3</c:f>
              <c:numCache>
                <c:formatCode>0%</c:formatCode>
                <c:ptCount val="2"/>
                <c:pt idx="0">
                  <c:v>0.95000000000000007</c:v>
                </c:pt>
                <c:pt idx="1">
                  <c:v>5.000000000000001E-2</c:v>
                </c:pt>
              </c:numCache>
            </c:numRef>
          </c:val>
        </c:ser>
        <c:dLbls>
          <c:showLegendKey val="0"/>
          <c:showVal val="0"/>
          <c:showCatName val="0"/>
          <c:showSerName val="0"/>
          <c:showPercent val="0"/>
          <c:showBubbleSize val="0"/>
        </c:dLbls>
        <c:gapWidth val="150"/>
        <c:axId val="187083776"/>
        <c:axId val="170705664"/>
      </c:barChart>
      <c:catAx>
        <c:axId val="187083776"/>
        <c:scaling>
          <c:orientation val="minMax"/>
        </c:scaling>
        <c:delete val="0"/>
        <c:axPos val="b"/>
        <c:majorTickMark val="out"/>
        <c:minorTickMark val="none"/>
        <c:tickLblPos val="nextTo"/>
        <c:txPr>
          <a:bodyPr/>
          <a:lstStyle/>
          <a:p>
            <a:pPr>
              <a:defRPr lang="es-SV"/>
            </a:pPr>
            <a:endParaRPr lang="es-SV"/>
          </a:p>
        </c:txPr>
        <c:crossAx val="170705664"/>
        <c:crosses val="autoZero"/>
        <c:auto val="1"/>
        <c:lblAlgn val="ctr"/>
        <c:lblOffset val="100"/>
        <c:noMultiLvlLbl val="0"/>
      </c:catAx>
      <c:valAx>
        <c:axId val="170705664"/>
        <c:scaling>
          <c:orientation val="minMax"/>
        </c:scaling>
        <c:delete val="0"/>
        <c:axPos val="l"/>
        <c:majorGridlines/>
        <c:numFmt formatCode="0%" sourceLinked="1"/>
        <c:majorTickMark val="out"/>
        <c:minorTickMark val="none"/>
        <c:tickLblPos val="nextTo"/>
        <c:txPr>
          <a:bodyPr/>
          <a:lstStyle/>
          <a:p>
            <a:pPr>
              <a:defRPr lang="es-SV"/>
            </a:pPr>
            <a:endParaRPr lang="es-SV"/>
          </a:p>
        </c:txPr>
        <c:crossAx val="187083776"/>
        <c:crosses val="autoZero"/>
        <c:crossBetween val="between"/>
      </c:valAx>
    </c:plotArea>
    <c:legend>
      <c:legendPos val="r"/>
      <c:layout>
        <c:manualLayout>
          <c:xMode val="edge"/>
          <c:yMode val="edge"/>
          <c:x val="0.78046820463231559"/>
          <c:y val="0.41406214002808772"/>
          <c:w val="0.19146161992908781"/>
          <c:h val="7.2404057600908012E-2"/>
        </c:manualLayout>
      </c:layout>
      <c:overlay val="0"/>
      <c:txPr>
        <a:bodyPr/>
        <a:lstStyle/>
        <a:p>
          <a:pPr>
            <a:defRPr lang="es-SV"/>
          </a:pPr>
          <a:endParaRPr lang="es-SV"/>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S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SV"/>
            </a:pPr>
            <a:r>
              <a:rPr lang="en-US"/>
              <a:t>Presencia de Sangrado activo según genero en los usuarios de los Hospitales Medico Quirúrgico y General del ISSS. Mayo a Septiembre 2011</a:t>
            </a:r>
          </a:p>
        </c:rich>
      </c:tx>
      <c:overlay val="0"/>
    </c:title>
    <c:autoTitleDeleted val="0"/>
    <c:plotArea>
      <c:layout/>
      <c:pieChart>
        <c:varyColors val="1"/>
        <c:ser>
          <c:idx val="0"/>
          <c:order val="0"/>
          <c:tx>
            <c:strRef>
              <c:f>Hoja1!$B$1</c:f>
              <c:strCache>
                <c:ptCount val="1"/>
                <c:pt idx="0">
                  <c:v>Presencia de Sangrado activo según genero en los usuarios de los Hospitales Medico Quirúrgico y General del ISSS</c:v>
                </c:pt>
              </c:strCache>
            </c:strRef>
          </c:tx>
          <c:explosion val="25"/>
          <c:dLbls>
            <c:txPr>
              <a:bodyPr/>
              <a:lstStyle/>
              <a:p>
                <a:pPr>
                  <a:defRPr lang="es-SV"/>
                </a:pPr>
                <a:endParaRPr lang="es-SV"/>
              </a:p>
            </c:txPr>
            <c:showLegendKey val="0"/>
            <c:showVal val="1"/>
            <c:showCatName val="0"/>
            <c:showSerName val="0"/>
            <c:showPercent val="0"/>
            <c:showBubbleSize val="0"/>
            <c:showLeaderLines val="1"/>
          </c:dLbls>
          <c:cat>
            <c:strRef>
              <c:f>Hoja1!$A$2:$A$3</c:f>
              <c:strCache>
                <c:ptCount val="2"/>
                <c:pt idx="0">
                  <c:v>hombres</c:v>
                </c:pt>
                <c:pt idx="1">
                  <c:v>mujeres</c:v>
                </c:pt>
              </c:strCache>
            </c:strRef>
          </c:cat>
          <c:val>
            <c:numRef>
              <c:f>Hoja1!$B$2:$B$3</c:f>
              <c:numCache>
                <c:formatCode>0.00%</c:formatCode>
                <c:ptCount val="2"/>
                <c:pt idx="0">
                  <c:v>0.41400000000000003</c:v>
                </c:pt>
                <c:pt idx="1">
                  <c:v>0.68600000000000005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44919648201869"/>
          <c:y val="0.37777381534722992"/>
          <c:w val="0.12427996500437445"/>
          <c:h val="0.144808115201816"/>
        </c:manualLayout>
      </c:layout>
      <c:overlay val="0"/>
      <c:txPr>
        <a:bodyPr/>
        <a:lstStyle/>
        <a:p>
          <a:pPr>
            <a:defRPr lang="es-SV"/>
          </a:pPr>
          <a:endParaRPr lang="es-SV"/>
        </a:p>
      </c:txPr>
    </c:legend>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S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SV"/>
            </a:pPr>
            <a:r>
              <a:rPr lang="en-US" sz="1200"/>
              <a:t>Presencia de Hemorragia Digestiva Alta Activa según  edad en los usuarios de los Hospitales Médico Quirúrgico y General del ISSS. Mayo a Septiembre 2011.</a:t>
            </a:r>
          </a:p>
        </c:rich>
      </c:tx>
      <c:layout>
        <c:manualLayout>
          <c:xMode val="edge"/>
          <c:yMode val="edge"/>
          <c:x val="9.9246605473750804E-2"/>
          <c:y val="5.057471264367816E-2"/>
        </c:manualLayout>
      </c:layout>
      <c:overlay val="0"/>
    </c:title>
    <c:autoTitleDeleted val="0"/>
    <c:plotArea>
      <c:layout/>
      <c:pieChart>
        <c:varyColors val="1"/>
        <c:ser>
          <c:idx val="0"/>
          <c:order val="0"/>
          <c:tx>
            <c:strRef>
              <c:f>Hoja1!$B$1</c:f>
              <c:strCache>
                <c:ptCount val="1"/>
                <c:pt idx="0">
                  <c:v>Sangrado activo</c:v>
                </c:pt>
              </c:strCache>
            </c:strRef>
          </c:tx>
          <c:dLbls>
            <c:txPr>
              <a:bodyPr/>
              <a:lstStyle/>
              <a:p>
                <a:pPr>
                  <a:defRPr lang="es-SV"/>
                </a:pPr>
                <a:endParaRPr lang="es-SV"/>
              </a:p>
            </c:txPr>
            <c:showLegendKey val="0"/>
            <c:showVal val="1"/>
            <c:showCatName val="0"/>
            <c:showSerName val="0"/>
            <c:showPercent val="0"/>
            <c:showBubbleSize val="0"/>
            <c:showLeaderLines val="1"/>
          </c:dLbls>
          <c:cat>
            <c:strRef>
              <c:f>Hoja1!$A$2:$A$5</c:f>
              <c:strCache>
                <c:ptCount val="4"/>
                <c:pt idx="0">
                  <c:v>de 30 a 39 años</c:v>
                </c:pt>
                <c:pt idx="1">
                  <c:v>de 40 a 49 años</c:v>
                </c:pt>
                <c:pt idx="2">
                  <c:v>de 50 a 59 años</c:v>
                </c:pt>
                <c:pt idx="3">
                  <c:v>mayor de 60 años</c:v>
                </c:pt>
              </c:strCache>
            </c:strRef>
          </c:cat>
          <c:val>
            <c:numRef>
              <c:f>Hoja1!$B$2:$B$5</c:f>
              <c:numCache>
                <c:formatCode>0%</c:formatCode>
                <c:ptCount val="4"/>
                <c:pt idx="0" formatCode="0.00%">
                  <c:v>0.17500000000000002</c:v>
                </c:pt>
                <c:pt idx="1">
                  <c:v>0.2</c:v>
                </c:pt>
                <c:pt idx="2">
                  <c:v>0.1</c:v>
                </c:pt>
                <c:pt idx="3" formatCode="0.00%">
                  <c:v>0.52500000000000002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249274631631495"/>
          <c:y val="0.30372015567019639"/>
          <c:w val="0.22455684564853121"/>
          <c:h val="0.33255932663589471"/>
        </c:manualLayout>
      </c:layout>
      <c:overlay val="0"/>
      <c:txPr>
        <a:bodyPr/>
        <a:lstStyle/>
        <a:p>
          <a:pPr>
            <a:defRPr lang="es-SV"/>
          </a:pPr>
          <a:endParaRPr lang="es-SV"/>
        </a:p>
      </c:txPr>
    </c:legend>
    <c:plotVisOnly val="1"/>
    <c:dispBlanksAs val="zero"/>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S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Hoja1!$B$1</c:f>
              <c:strCache>
                <c:ptCount val="1"/>
                <c:pt idx="0">
                  <c:v>ocupaban </c:v>
                </c:pt>
              </c:strCache>
            </c:strRef>
          </c:tx>
          <c:invertIfNegative val="0"/>
          <c:cat>
            <c:strRef>
              <c:f>Hoja1!$A$2:$A$3</c:f>
              <c:strCache>
                <c:ptCount val="2"/>
                <c:pt idx="0">
                  <c:v>uso de AINE´S</c:v>
                </c:pt>
                <c:pt idx="1">
                  <c:v>Uso de antihipertensivos</c:v>
                </c:pt>
              </c:strCache>
            </c:strRef>
          </c:cat>
          <c:val>
            <c:numRef>
              <c:f>Hoja1!$B$2:$B$3</c:f>
              <c:numCache>
                <c:formatCode>0.00%</c:formatCode>
                <c:ptCount val="2"/>
                <c:pt idx="0" formatCode="0%">
                  <c:v>0.4</c:v>
                </c:pt>
                <c:pt idx="1">
                  <c:v>0.4250000000000001</c:v>
                </c:pt>
              </c:numCache>
            </c:numRef>
          </c:val>
        </c:ser>
        <c:ser>
          <c:idx val="1"/>
          <c:order val="1"/>
          <c:tx>
            <c:strRef>
              <c:f>Hoja1!$C$1</c:f>
              <c:strCache>
                <c:ptCount val="1"/>
                <c:pt idx="0">
                  <c:v>no ocupaban</c:v>
                </c:pt>
              </c:strCache>
            </c:strRef>
          </c:tx>
          <c:invertIfNegative val="0"/>
          <c:cat>
            <c:strRef>
              <c:f>Hoja1!$A$2:$A$3</c:f>
              <c:strCache>
                <c:ptCount val="2"/>
                <c:pt idx="0">
                  <c:v>uso de AINE´S</c:v>
                </c:pt>
                <c:pt idx="1">
                  <c:v>Uso de antihipertensivos</c:v>
                </c:pt>
              </c:strCache>
            </c:strRef>
          </c:cat>
          <c:val>
            <c:numRef>
              <c:f>Hoja1!$C$2:$C$3</c:f>
              <c:numCache>
                <c:formatCode>0.00%</c:formatCode>
                <c:ptCount val="2"/>
                <c:pt idx="0" formatCode="0%">
                  <c:v>0.60000000000000009</c:v>
                </c:pt>
                <c:pt idx="1">
                  <c:v>0.57500000000000007</c:v>
                </c:pt>
              </c:numCache>
            </c:numRef>
          </c:val>
        </c:ser>
        <c:dLbls>
          <c:showLegendKey val="0"/>
          <c:showVal val="0"/>
          <c:showCatName val="0"/>
          <c:showSerName val="0"/>
          <c:showPercent val="0"/>
          <c:showBubbleSize val="0"/>
        </c:dLbls>
        <c:gapWidth val="150"/>
        <c:overlap val="100"/>
        <c:axId val="164111104"/>
        <c:axId val="164112640"/>
      </c:barChart>
      <c:catAx>
        <c:axId val="164111104"/>
        <c:scaling>
          <c:orientation val="minMax"/>
        </c:scaling>
        <c:delete val="0"/>
        <c:axPos val="b"/>
        <c:majorTickMark val="out"/>
        <c:minorTickMark val="none"/>
        <c:tickLblPos val="nextTo"/>
        <c:txPr>
          <a:bodyPr/>
          <a:lstStyle/>
          <a:p>
            <a:pPr>
              <a:defRPr lang="es-SV"/>
            </a:pPr>
            <a:endParaRPr lang="es-SV"/>
          </a:p>
        </c:txPr>
        <c:crossAx val="164112640"/>
        <c:crosses val="autoZero"/>
        <c:auto val="1"/>
        <c:lblAlgn val="ctr"/>
        <c:lblOffset val="100"/>
        <c:noMultiLvlLbl val="0"/>
      </c:catAx>
      <c:valAx>
        <c:axId val="164112640"/>
        <c:scaling>
          <c:orientation val="minMax"/>
        </c:scaling>
        <c:delete val="0"/>
        <c:axPos val="l"/>
        <c:majorGridlines/>
        <c:numFmt formatCode="0%" sourceLinked="1"/>
        <c:majorTickMark val="out"/>
        <c:minorTickMark val="none"/>
        <c:tickLblPos val="nextTo"/>
        <c:txPr>
          <a:bodyPr/>
          <a:lstStyle/>
          <a:p>
            <a:pPr>
              <a:defRPr lang="es-SV"/>
            </a:pPr>
            <a:endParaRPr lang="es-SV"/>
          </a:p>
        </c:txPr>
        <c:crossAx val="164111104"/>
        <c:crosses val="autoZero"/>
        <c:crossBetween val="between"/>
      </c:valAx>
      <c:spPr>
        <a:solidFill>
          <a:schemeClr val="lt1"/>
        </a:solidFill>
        <a:ln w="25400" cap="flat" cmpd="sng" algn="ctr">
          <a:solidFill>
            <a:schemeClr val="dk1"/>
          </a:solidFill>
          <a:prstDash val="solid"/>
        </a:ln>
        <a:effectLst/>
      </c:spPr>
    </c:plotArea>
    <c:legend>
      <c:legendPos val="r"/>
      <c:layout>
        <c:manualLayout>
          <c:xMode val="edge"/>
          <c:yMode val="edge"/>
          <c:x val="0.80379002624671925"/>
          <c:y val="0.25968756410458721"/>
          <c:w val="0.16346143574158495"/>
          <c:h val="0.144808115201816"/>
        </c:manualLayout>
      </c:layout>
      <c:overlay val="0"/>
      <c:txPr>
        <a:bodyPr/>
        <a:lstStyle/>
        <a:p>
          <a:pPr>
            <a:defRPr lang="es-SV"/>
          </a:pPr>
          <a:endParaRPr lang="es-SV"/>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SV"/>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CE67-0F90-4969-BD43-6DA42BE8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7954</Words>
  <Characters>43753</Characters>
  <Application>Microsoft Office Word</Application>
  <DocSecurity>0</DocSecurity>
  <Lines>364</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INTRODUCCION</vt:lpstr>
      <vt:lpstr>INTRODUCCION</vt:lpstr>
    </vt:vector>
  </TitlesOfParts>
  <Company>HP</Company>
  <LinksUpToDate>false</LinksUpToDate>
  <CharactersWithSpaces>51604</CharactersWithSpaces>
  <SharedDoc>false</SharedDoc>
  <HLinks>
    <vt:vector size="6" baseType="variant">
      <vt:variant>
        <vt:i4>3997795</vt:i4>
      </vt:variant>
      <vt:variant>
        <vt:i4>0</vt:i4>
      </vt:variant>
      <vt:variant>
        <vt:i4>0</vt:i4>
      </vt:variant>
      <vt:variant>
        <vt:i4>5</vt:i4>
      </vt:variant>
      <vt:variant>
        <vt:lpwstr>http://www.cun.es/areadesalud/tu-salud/nutricion-y-salud/valoracion-del-estado-nutricional/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Manuel Enrique</dc:creator>
  <cp:lastModifiedBy>familia Aguirre</cp:lastModifiedBy>
  <cp:revision>4</cp:revision>
  <cp:lastPrinted>2014-01-28T12:30:00Z</cp:lastPrinted>
  <dcterms:created xsi:type="dcterms:W3CDTF">2014-01-30T15:06:00Z</dcterms:created>
  <dcterms:modified xsi:type="dcterms:W3CDTF">2014-02-24T00:11:00Z</dcterms:modified>
</cp:coreProperties>
</file>